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51" w:rsidRPr="007F2E29" w:rsidRDefault="00594A51" w:rsidP="00594A51">
      <w:pPr>
        <w:spacing w:line="240" w:lineRule="auto"/>
        <w:rPr>
          <w:rFonts w:asciiTheme="minorHAnsi" w:hAnsiTheme="minorHAnsi" w:cstheme="minorHAnsi"/>
          <w:sz w:val="24"/>
          <w:szCs w:val="24"/>
        </w:rPr>
      </w:pPr>
      <w:bookmarkStart w:id="0" w:name="_GoBack"/>
      <w:bookmarkEnd w:id="0"/>
      <w:r w:rsidRPr="007F2E29">
        <w:rPr>
          <w:rFonts w:asciiTheme="minorHAnsi" w:hAnsiTheme="minorHAnsi" w:cstheme="minorHAnsi"/>
          <w:b/>
          <w:sz w:val="24"/>
          <w:szCs w:val="24"/>
        </w:rPr>
        <w:t>Outcomes</w:t>
      </w:r>
      <w:r>
        <w:rPr>
          <w:rFonts w:asciiTheme="minorHAnsi" w:hAnsiTheme="minorHAnsi" w:cstheme="minorHAnsi"/>
          <w:b/>
          <w:sz w:val="24"/>
          <w:szCs w:val="24"/>
        </w:rPr>
        <w:t xml:space="preserve"> for this session</w:t>
      </w:r>
      <w:r w:rsidRPr="007F2E29">
        <w:rPr>
          <w:rFonts w:asciiTheme="minorHAnsi" w:hAnsiTheme="minorHAnsi" w:cstheme="minorHAnsi"/>
          <w:sz w:val="24"/>
          <w:szCs w:val="24"/>
        </w:rPr>
        <w:t xml:space="preserve">:  </w:t>
      </w:r>
      <w:r>
        <w:rPr>
          <w:rFonts w:asciiTheme="minorHAnsi" w:hAnsiTheme="minorHAnsi" w:cstheme="minorHAnsi"/>
          <w:sz w:val="24"/>
          <w:szCs w:val="24"/>
        </w:rPr>
        <w:t>Participants will leave the presentation with a better understanding of the value of CIP and resources they can use on their journey.</w:t>
      </w:r>
    </w:p>
    <w:p w:rsidR="00594A51" w:rsidRDefault="005D2B15" w:rsidP="005D2B15">
      <w:pPr>
        <w:spacing w:line="240" w:lineRule="auto"/>
        <w:contextualSpacing/>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6010275</wp:posOffset>
                </wp:positionH>
                <wp:positionV relativeFrom="paragraph">
                  <wp:posOffset>5715</wp:posOffset>
                </wp:positionV>
                <wp:extent cx="78105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781050" cy="1905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EFF3C" id="Oval 1" o:spid="_x0000_s1026" style="position:absolute;margin-left:473.25pt;margin-top:.45pt;width:61.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" filled="f" strokecolor="#70ad47 [3209]" strokeweight="1pt">
                <v:stroke joinstyle="miter"/>
                <w10:wrap anchorx="margin"/>
              </v:oval>
            </w:pict>
          </mc:Fallback>
        </mc:AlternateContent>
      </w:r>
      <w:r w:rsidR="00594A51" w:rsidRPr="00ED50FC">
        <w:rPr>
          <w:rFonts w:cstheme="minorHAnsi"/>
          <w:b/>
          <w:sz w:val="24"/>
          <w:szCs w:val="24"/>
        </w:rPr>
        <w:t>TARGET</w:t>
      </w:r>
      <w:r w:rsidR="00594A51">
        <w:rPr>
          <w:rFonts w:cstheme="minorHAnsi"/>
          <w:b/>
          <w:sz w:val="24"/>
          <w:szCs w:val="24"/>
        </w:rPr>
        <w:t xml:space="preserve">S – </w:t>
      </w:r>
      <w:r w:rsidR="00594A51" w:rsidRPr="00594A51">
        <w:rPr>
          <w:rFonts w:cstheme="minorHAnsi"/>
          <w:i/>
          <w:sz w:val="24"/>
          <w:szCs w:val="24"/>
        </w:rPr>
        <w:t>As a result of this session, participants will be able to:</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Pr="005D2B15">
        <w:rPr>
          <w:rFonts w:cstheme="minorHAnsi"/>
          <w:i/>
          <w:sz w:val="16"/>
          <w:szCs w:val="16"/>
        </w:rPr>
        <w:t>Target hit?</w:t>
      </w:r>
      <w:r>
        <w:rPr>
          <w:rFonts w:cstheme="minorHAnsi"/>
          <w:i/>
          <w:sz w:val="16"/>
          <w:szCs w:val="16"/>
        </w:rPr>
        <w:t xml:space="preserve"> </w:t>
      </w:r>
      <w:r w:rsidR="00BB5CF7">
        <w:rPr>
          <w:rFonts w:cstheme="minorHAnsi"/>
          <w:i/>
          <w:sz w:val="16"/>
          <w:szCs w:val="16"/>
        </w:rPr>
        <w:t xml:space="preserve">      </w:t>
      </w:r>
      <w:r>
        <w:rPr>
          <w:rFonts w:cstheme="minorHAnsi"/>
          <w:i/>
          <w:sz w:val="16"/>
          <w:szCs w:val="16"/>
        </w:rPr>
        <w:t>Circle Response</w:t>
      </w:r>
    </w:p>
    <w:p w:rsidR="00594A51" w:rsidRPr="005D2B15" w:rsidRDefault="00594A51" w:rsidP="005D2B15">
      <w:pPr>
        <w:pStyle w:val="ListParagraph"/>
        <w:numPr>
          <w:ilvl w:val="0"/>
          <w:numId w:val="1"/>
        </w:numPr>
        <w:rPr>
          <w:rFonts w:cstheme="minorHAnsi"/>
          <w:sz w:val="24"/>
          <w:szCs w:val="24"/>
        </w:rPr>
      </w:pPr>
      <w:r w:rsidRPr="00594A51">
        <w:rPr>
          <w:rFonts w:cstheme="minorHAnsi"/>
          <w:sz w:val="24"/>
          <w:szCs w:val="24"/>
        </w:rPr>
        <w:t>Ask questions related to Continuous Improvement Planning</w:t>
      </w:r>
      <w:r>
        <w:rPr>
          <w:rFonts w:cstheme="minorHAnsi"/>
          <w:sz w:val="24"/>
          <w:szCs w:val="24"/>
        </w:rPr>
        <w:tab/>
      </w:r>
      <w:r>
        <w:rPr>
          <w:rFonts w:cstheme="minorHAnsi"/>
          <w:sz w:val="24"/>
          <w:szCs w:val="24"/>
        </w:rPr>
        <w:tab/>
      </w:r>
      <w:r>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Recognize the value of Continuous Improvement Planning</w:t>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Locate multiple sources of data for use in your Continuous Improvement Planning</w:t>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Pr="00594A51" w:rsidRDefault="00594A51" w:rsidP="00594A51">
      <w:pPr>
        <w:pStyle w:val="ListParagraph"/>
        <w:numPr>
          <w:ilvl w:val="0"/>
          <w:numId w:val="1"/>
        </w:numPr>
        <w:rPr>
          <w:rFonts w:cstheme="minorHAnsi"/>
          <w:sz w:val="24"/>
          <w:szCs w:val="24"/>
        </w:rPr>
      </w:pPr>
      <w:r w:rsidRPr="00594A51">
        <w:rPr>
          <w:rFonts w:cstheme="minorHAnsi"/>
          <w:sz w:val="24"/>
          <w:szCs w:val="24"/>
        </w:rPr>
        <w:t>Access resources to support Continuous Improvement Planning</w:t>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D067D6" w:rsidRPr="00594A51" w:rsidRDefault="00594A51" w:rsidP="00594A51">
      <w:pPr>
        <w:pStyle w:val="ListParagraph"/>
        <w:numPr>
          <w:ilvl w:val="0"/>
          <w:numId w:val="1"/>
        </w:numPr>
      </w:pPr>
      <w:r w:rsidRPr="00594A51">
        <w:rPr>
          <w:rFonts w:cstheme="minorHAnsi"/>
          <w:sz w:val="24"/>
          <w:szCs w:val="24"/>
        </w:rPr>
        <w:t>Identifying next steps in your school/district’s Continuous Improvement Planning</w:t>
      </w:r>
      <w:r w:rsidR="005D2B15">
        <w:rPr>
          <w:rFonts w:cstheme="minorHAnsi"/>
          <w:sz w:val="24"/>
          <w:szCs w:val="24"/>
        </w:rPr>
        <w:tab/>
      </w:r>
      <w:r w:rsidR="005D2B15">
        <w:rPr>
          <w:rFonts w:cstheme="minorHAnsi"/>
          <w:sz w:val="24"/>
          <w:szCs w:val="24"/>
        </w:rPr>
        <w:tab/>
      </w:r>
      <w:r w:rsidR="005D2B15">
        <w:rPr>
          <w:rFonts w:cstheme="minorHAnsi"/>
          <w:sz w:val="16"/>
          <w:szCs w:val="16"/>
        </w:rPr>
        <w:t>Yes</w:t>
      </w:r>
      <w:r w:rsidR="005D2B15">
        <w:rPr>
          <w:rFonts w:cstheme="minorHAnsi"/>
          <w:sz w:val="16"/>
          <w:szCs w:val="16"/>
        </w:rPr>
        <w:tab/>
        <w:t>No</w:t>
      </w:r>
    </w:p>
    <w:p w:rsidR="00594A51" w:rsidRDefault="00594A51" w:rsidP="00594A51">
      <w:pPr>
        <w:rPr>
          <w:i/>
          <w:sz w:val="24"/>
          <w:szCs w:val="24"/>
        </w:rPr>
      </w:pPr>
      <w:r w:rsidRPr="00594A51">
        <w:rPr>
          <w:b/>
          <w:sz w:val="24"/>
          <w:szCs w:val="24"/>
        </w:rPr>
        <w:t>Myth/Fact Activity</w:t>
      </w:r>
      <w:r>
        <w:rPr>
          <w:b/>
          <w:sz w:val="24"/>
          <w:szCs w:val="24"/>
        </w:rPr>
        <w:t xml:space="preserve"> – </w:t>
      </w:r>
      <w:r>
        <w:rPr>
          <w:i/>
          <w:sz w:val="24"/>
          <w:szCs w:val="24"/>
        </w:rPr>
        <w:t xml:space="preserve">For each of the statements below, indicate whether you believe the information to be a </w:t>
      </w:r>
      <w:r w:rsidRPr="00594A51">
        <w:rPr>
          <w:b/>
          <w:i/>
          <w:sz w:val="24"/>
          <w:szCs w:val="24"/>
        </w:rPr>
        <w:t>MYTH</w:t>
      </w:r>
      <w:r>
        <w:rPr>
          <w:i/>
          <w:sz w:val="24"/>
          <w:szCs w:val="24"/>
        </w:rPr>
        <w:t xml:space="preserve"> or a </w:t>
      </w:r>
      <w:r w:rsidRPr="00594A51">
        <w:rPr>
          <w:b/>
          <w:i/>
          <w:sz w:val="24"/>
          <w:szCs w:val="24"/>
        </w:rPr>
        <w:t>FACT</w:t>
      </w:r>
      <w:r>
        <w:rPr>
          <w:i/>
          <w:sz w:val="24"/>
          <w:szCs w:val="24"/>
        </w:rPr>
        <w:t xml:space="preserve"> related to Continuous Improvement Planning (CIP) and requirements for your school/district.</w:t>
      </w:r>
    </w:p>
    <w:tbl>
      <w:tblPr>
        <w:tblStyle w:val="TableGrid"/>
        <w:tblW w:w="10795" w:type="dxa"/>
        <w:tblLook w:val="04A0" w:firstRow="1" w:lastRow="0" w:firstColumn="1" w:lastColumn="0" w:noHBand="0" w:noVBand="1"/>
      </w:tblPr>
      <w:tblGrid>
        <w:gridCol w:w="5012"/>
        <w:gridCol w:w="749"/>
        <w:gridCol w:w="635"/>
        <w:gridCol w:w="4399"/>
      </w:tblGrid>
      <w:tr w:rsidR="00594A51" w:rsidTr="00594A51">
        <w:tc>
          <w:tcPr>
            <w:tcW w:w="5012" w:type="dxa"/>
          </w:tcPr>
          <w:p w:rsidR="00594A51" w:rsidRPr="00594A51" w:rsidRDefault="00594A51" w:rsidP="00594A51">
            <w:pPr>
              <w:rPr>
                <w:b/>
                <w:i/>
                <w:sz w:val="24"/>
                <w:szCs w:val="24"/>
              </w:rPr>
            </w:pPr>
            <w:r w:rsidRPr="00594A51">
              <w:rPr>
                <w:b/>
                <w:i/>
                <w:sz w:val="24"/>
                <w:szCs w:val="24"/>
              </w:rPr>
              <w:t>Statement</w:t>
            </w:r>
          </w:p>
        </w:tc>
        <w:tc>
          <w:tcPr>
            <w:tcW w:w="749" w:type="dxa"/>
          </w:tcPr>
          <w:p w:rsidR="00594A51" w:rsidRPr="00594A51" w:rsidRDefault="00594A51" w:rsidP="00594A51">
            <w:pPr>
              <w:jc w:val="center"/>
              <w:rPr>
                <w:b/>
                <w:i/>
                <w:sz w:val="24"/>
                <w:szCs w:val="24"/>
              </w:rPr>
            </w:pPr>
            <w:r w:rsidRPr="00594A51">
              <w:rPr>
                <w:b/>
                <w:i/>
                <w:sz w:val="24"/>
                <w:szCs w:val="24"/>
              </w:rPr>
              <w:t>Myth</w:t>
            </w:r>
          </w:p>
        </w:tc>
        <w:tc>
          <w:tcPr>
            <w:tcW w:w="635" w:type="dxa"/>
          </w:tcPr>
          <w:p w:rsidR="00594A51" w:rsidRPr="00594A51" w:rsidRDefault="00594A51" w:rsidP="00594A51">
            <w:pPr>
              <w:jc w:val="center"/>
              <w:rPr>
                <w:b/>
                <w:i/>
                <w:sz w:val="24"/>
                <w:szCs w:val="24"/>
              </w:rPr>
            </w:pPr>
            <w:r w:rsidRPr="00594A51">
              <w:rPr>
                <w:b/>
                <w:i/>
                <w:sz w:val="24"/>
                <w:szCs w:val="24"/>
              </w:rPr>
              <w:t>Fact</w:t>
            </w:r>
          </w:p>
        </w:tc>
        <w:tc>
          <w:tcPr>
            <w:tcW w:w="4399" w:type="dxa"/>
          </w:tcPr>
          <w:p w:rsidR="00594A51" w:rsidRPr="00594A51" w:rsidRDefault="00594A51" w:rsidP="00594A51">
            <w:pPr>
              <w:rPr>
                <w:b/>
                <w:i/>
                <w:sz w:val="24"/>
                <w:szCs w:val="24"/>
              </w:rPr>
            </w:pPr>
            <w:r w:rsidRPr="00594A51">
              <w:rPr>
                <w:b/>
                <w:i/>
                <w:sz w:val="24"/>
                <w:szCs w:val="24"/>
              </w:rPr>
              <w:t>Questions/Comments/Notes</w:t>
            </w:r>
          </w:p>
        </w:tc>
      </w:tr>
      <w:tr w:rsidR="00594A51" w:rsidTr="00594A51">
        <w:tc>
          <w:tcPr>
            <w:tcW w:w="5012" w:type="dxa"/>
          </w:tcPr>
          <w:p w:rsidR="00594A51" w:rsidRPr="00594A51" w:rsidRDefault="00594A51" w:rsidP="00594A51">
            <w:pPr>
              <w:rPr>
                <w:i/>
                <w:sz w:val="24"/>
                <w:szCs w:val="24"/>
              </w:rPr>
            </w:pPr>
            <w:r w:rsidRPr="00594A51">
              <w:rPr>
                <w:sz w:val="24"/>
                <w:szCs w:val="24"/>
              </w:rPr>
              <w:t>My district can use Rising Star as its CIP</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r>
              <w:rPr>
                <w:i/>
                <w:sz w:val="24"/>
                <w:szCs w:val="24"/>
              </w:rPr>
              <w:t>X</w:t>
            </w: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cannot create its own CIP process</w:t>
            </w:r>
          </w:p>
        </w:tc>
        <w:tc>
          <w:tcPr>
            <w:tcW w:w="749" w:type="dxa"/>
          </w:tcPr>
          <w:p w:rsidR="00594A51" w:rsidRPr="00594A51" w:rsidRDefault="00594A51" w:rsidP="00594A51">
            <w:pPr>
              <w:jc w:val="center"/>
              <w:rPr>
                <w:i/>
                <w:sz w:val="24"/>
                <w:szCs w:val="24"/>
              </w:rPr>
            </w:pPr>
            <w:r>
              <w:rPr>
                <w:i/>
                <w:sz w:val="24"/>
                <w:szCs w:val="24"/>
              </w:rPr>
              <w:t>X</w:t>
            </w: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Rising Star is the portal to Title I Plans, AMAO, and NA</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r>
              <w:rPr>
                <w:i/>
                <w:sz w:val="24"/>
                <w:szCs w:val="24"/>
              </w:rPr>
              <w:t>X</w:t>
            </w: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can do a CIP without using data</w:t>
            </w:r>
          </w:p>
        </w:tc>
        <w:tc>
          <w:tcPr>
            <w:tcW w:w="749" w:type="dxa"/>
          </w:tcPr>
          <w:p w:rsidR="00594A51" w:rsidRPr="00594A51" w:rsidRDefault="00594A51" w:rsidP="00594A51">
            <w:pPr>
              <w:jc w:val="center"/>
              <w:rPr>
                <w:i/>
                <w:sz w:val="24"/>
                <w:szCs w:val="24"/>
              </w:rPr>
            </w:pPr>
            <w:r>
              <w:rPr>
                <w:i/>
                <w:sz w:val="24"/>
                <w:szCs w:val="24"/>
              </w:rPr>
              <w:t>X</w:t>
            </w: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The state provides a default plan for Continuous Improvement</w:t>
            </w:r>
          </w:p>
        </w:tc>
        <w:tc>
          <w:tcPr>
            <w:tcW w:w="749" w:type="dxa"/>
          </w:tcPr>
          <w:p w:rsidR="00594A51" w:rsidRPr="00594A51" w:rsidRDefault="00594A51" w:rsidP="00594A51">
            <w:pPr>
              <w:jc w:val="center"/>
              <w:rPr>
                <w:i/>
                <w:sz w:val="24"/>
                <w:szCs w:val="24"/>
              </w:rPr>
            </w:pPr>
            <w:r>
              <w:rPr>
                <w:i/>
                <w:sz w:val="24"/>
                <w:szCs w:val="24"/>
              </w:rPr>
              <w:t>X</w:t>
            </w: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sz w:val="24"/>
                <w:szCs w:val="24"/>
              </w:rPr>
            </w:pPr>
            <w:r>
              <w:t>My district no longer has to do any continuous improvement planning</w:t>
            </w:r>
          </w:p>
        </w:tc>
        <w:tc>
          <w:tcPr>
            <w:tcW w:w="749" w:type="dxa"/>
          </w:tcPr>
          <w:p w:rsidR="00594A51" w:rsidRPr="00594A51" w:rsidRDefault="00594A51" w:rsidP="00594A51">
            <w:pPr>
              <w:jc w:val="center"/>
              <w:rPr>
                <w:i/>
                <w:sz w:val="24"/>
                <w:szCs w:val="24"/>
              </w:rPr>
            </w:pPr>
            <w:r>
              <w:rPr>
                <w:i/>
                <w:sz w:val="24"/>
                <w:szCs w:val="24"/>
              </w:rPr>
              <w:t>X</w:t>
            </w:r>
          </w:p>
        </w:tc>
        <w:tc>
          <w:tcPr>
            <w:tcW w:w="635" w:type="dxa"/>
          </w:tcPr>
          <w:p w:rsidR="00594A51" w:rsidRPr="00594A51" w:rsidRDefault="00594A51" w:rsidP="00594A51">
            <w:pPr>
              <w:jc w:val="center"/>
              <w:rPr>
                <w:i/>
                <w:sz w:val="24"/>
                <w:szCs w:val="24"/>
              </w:rPr>
            </w:pPr>
          </w:p>
        </w:tc>
        <w:tc>
          <w:tcPr>
            <w:tcW w:w="4399" w:type="dxa"/>
          </w:tcPr>
          <w:p w:rsidR="00594A51" w:rsidRPr="00594A51" w:rsidRDefault="00594A51" w:rsidP="00594A51">
            <w:pPr>
              <w:rPr>
                <w:i/>
                <w:sz w:val="24"/>
                <w:szCs w:val="24"/>
              </w:rPr>
            </w:pPr>
          </w:p>
        </w:tc>
      </w:tr>
      <w:tr w:rsidR="00594A51" w:rsidTr="00594A51">
        <w:tc>
          <w:tcPr>
            <w:tcW w:w="5012" w:type="dxa"/>
          </w:tcPr>
          <w:p w:rsidR="00594A51" w:rsidRPr="00594A51" w:rsidRDefault="00594A51" w:rsidP="00594A51">
            <w:pPr>
              <w:rPr>
                <w:i/>
                <w:sz w:val="24"/>
                <w:szCs w:val="24"/>
              </w:rPr>
            </w:pPr>
            <w:r>
              <w:t>There is no requirement to submit plans to ISBE</w:t>
            </w:r>
          </w:p>
        </w:tc>
        <w:tc>
          <w:tcPr>
            <w:tcW w:w="749" w:type="dxa"/>
          </w:tcPr>
          <w:p w:rsidR="00594A51" w:rsidRPr="00594A51" w:rsidRDefault="00594A51" w:rsidP="00594A51">
            <w:pPr>
              <w:jc w:val="center"/>
              <w:rPr>
                <w:i/>
                <w:sz w:val="24"/>
                <w:szCs w:val="24"/>
              </w:rPr>
            </w:pPr>
          </w:p>
        </w:tc>
        <w:tc>
          <w:tcPr>
            <w:tcW w:w="635" w:type="dxa"/>
          </w:tcPr>
          <w:p w:rsidR="00594A51" w:rsidRPr="00594A51" w:rsidRDefault="00594A51" w:rsidP="00594A51">
            <w:pPr>
              <w:jc w:val="center"/>
              <w:rPr>
                <w:i/>
                <w:sz w:val="24"/>
                <w:szCs w:val="24"/>
              </w:rPr>
            </w:pPr>
            <w:r>
              <w:rPr>
                <w:i/>
                <w:sz w:val="24"/>
                <w:szCs w:val="24"/>
              </w:rPr>
              <w:t>X</w:t>
            </w:r>
          </w:p>
        </w:tc>
        <w:tc>
          <w:tcPr>
            <w:tcW w:w="4399" w:type="dxa"/>
          </w:tcPr>
          <w:p w:rsidR="00594A51" w:rsidRPr="00594A51" w:rsidRDefault="00594A51" w:rsidP="00594A51">
            <w:pPr>
              <w:rPr>
                <w:i/>
                <w:sz w:val="24"/>
                <w:szCs w:val="24"/>
              </w:rPr>
            </w:pPr>
          </w:p>
        </w:tc>
      </w:tr>
    </w:tbl>
    <w:p w:rsidR="00F708D7" w:rsidRPr="00546C6C" w:rsidRDefault="00F708D7" w:rsidP="00295642">
      <w:pPr>
        <w:spacing w:line="240" w:lineRule="auto"/>
        <w:contextualSpacing/>
        <w:rPr>
          <w:b/>
        </w:rPr>
      </w:pPr>
      <w:r w:rsidRPr="00546C6C">
        <w:rPr>
          <w:b/>
        </w:rPr>
        <w:t xml:space="preserve">Resources </w:t>
      </w:r>
    </w:p>
    <w:p w:rsidR="00F708D7" w:rsidRPr="00546C6C" w:rsidRDefault="004B495C" w:rsidP="00295642">
      <w:pPr>
        <w:numPr>
          <w:ilvl w:val="0"/>
          <w:numId w:val="2"/>
        </w:numPr>
        <w:spacing w:line="240" w:lineRule="auto"/>
        <w:contextualSpacing/>
      </w:pPr>
      <w:r>
        <w:fldChar w:fldCharType="begin"/>
      </w:r>
      <w:r>
        <w:instrText xml:space="preserve"> HYPERLINK "http://www.indistar.org/VideoPlayer/IndicatorsNow.aspx" \t "_blank" </w:instrText>
      </w:r>
      <w:r>
        <w:fldChar w:fldCharType="separate"/>
      </w:r>
      <w:r w:rsidR="00F708D7" w:rsidRPr="00546C6C">
        <w:rPr>
          <w:rStyle w:val="Hyperlink"/>
        </w:rPr>
        <w:t>Indicators in Action™ Videos</w:t>
      </w:r>
      <w:r>
        <w:rPr>
          <w:rStyle w:val="Hyperlink"/>
        </w:rPr>
        <w:fldChar w:fldCharType="end"/>
      </w:r>
      <w:r w:rsidR="00F708D7" w:rsidRPr="00546C6C">
        <w:t xml:space="preserve"> Copyright © 2012 - 2014 Academic Development Institute  </w:t>
      </w:r>
      <w:hyperlink r:id="rId8" w:history="1">
        <w:r w:rsidR="00F708D7" w:rsidRPr="00546C6C">
          <w:rPr>
            <w:rStyle w:val="Hyperlink"/>
          </w:rPr>
          <w:t>http://www.indistar.org/VideoPlayer/IndicatorsNow.aspx</w:t>
        </w:r>
      </w:hyperlink>
      <w:r w:rsidR="00F708D7" w:rsidRPr="00546C6C">
        <w:t xml:space="preserve"> </w:t>
      </w:r>
    </w:p>
    <w:p w:rsidR="00F708D7" w:rsidRPr="00546C6C" w:rsidRDefault="00F708D7" w:rsidP="00295642">
      <w:pPr>
        <w:numPr>
          <w:ilvl w:val="0"/>
          <w:numId w:val="2"/>
        </w:numPr>
        <w:spacing w:line="240" w:lineRule="auto"/>
        <w:contextualSpacing/>
      </w:pPr>
      <w:r w:rsidRPr="00546C6C">
        <w:t xml:space="preserve">NCLB LEA and School Improvement Non-Regulatory Guidance  </w:t>
      </w:r>
      <w:hyperlink r:id="rId9" w:history="1">
        <w:r w:rsidRPr="00546C6C">
          <w:rPr>
            <w:rStyle w:val="Hyperlink"/>
          </w:rPr>
          <w:t>https://www2.ed.gov/policy/elsec/guid/schoolimprovementguid.pdf</w:t>
        </w:r>
      </w:hyperlink>
      <w:r w:rsidRPr="00546C6C">
        <w:t xml:space="preserve"> </w:t>
      </w:r>
    </w:p>
    <w:p w:rsidR="00F708D7" w:rsidRPr="00546C6C" w:rsidRDefault="00F708D7" w:rsidP="00295642">
      <w:pPr>
        <w:numPr>
          <w:ilvl w:val="0"/>
          <w:numId w:val="2"/>
        </w:numPr>
        <w:spacing w:line="240" w:lineRule="auto"/>
        <w:contextualSpacing/>
      </w:pPr>
      <w:r w:rsidRPr="00546C6C">
        <w:t xml:space="preserve">Rising Star on the Illinois Interactive Report Card the Illinois Tool for Data-Informed Continuous Improvement Planning  </w:t>
      </w:r>
      <w:hyperlink r:id="rId10" w:history="1">
        <w:r w:rsidRPr="00546C6C">
          <w:rPr>
            <w:rStyle w:val="Hyperlink"/>
          </w:rPr>
          <w:t>www.brainshark.com/IllinoisPrincipalsAssoc/rs_intro</w:t>
        </w:r>
      </w:hyperlink>
      <w:r w:rsidRPr="00546C6C">
        <w:t xml:space="preserve"> </w:t>
      </w:r>
      <w:r w:rsidR="000D35C9" w:rsidRPr="00546C6C">
        <w:t xml:space="preserve"> </w:t>
      </w:r>
    </w:p>
    <w:p w:rsidR="00F708D7" w:rsidRPr="00546C6C" w:rsidRDefault="00F708D7" w:rsidP="00295642">
      <w:pPr>
        <w:numPr>
          <w:ilvl w:val="0"/>
          <w:numId w:val="2"/>
        </w:numPr>
        <w:spacing w:line="240" w:lineRule="auto"/>
        <w:contextualSpacing/>
      </w:pPr>
      <w:r w:rsidRPr="00546C6C">
        <w:t xml:space="preserve">Rising Star on the Illinois Interactive Report Card (IIRC): Illinois Association of School Boards </w:t>
      </w:r>
      <w:hyperlink r:id="rId11" w:history="1">
        <w:r w:rsidRPr="00546C6C">
          <w:rPr>
            <w:rStyle w:val="Hyperlink"/>
          </w:rPr>
          <w:t>http://www.brainshark.com/IllinoisPrincipalsAssoc/rs_board</w:t>
        </w:r>
      </w:hyperlink>
      <w:r w:rsidRPr="00546C6C">
        <w:t> </w:t>
      </w:r>
      <w:r w:rsidR="000D35C9" w:rsidRPr="00546C6C">
        <w:t>**Introductory Webinar**</w:t>
      </w:r>
    </w:p>
    <w:p w:rsidR="000D35C9" w:rsidRPr="00546C6C" w:rsidRDefault="00F708D7" w:rsidP="00295642">
      <w:pPr>
        <w:numPr>
          <w:ilvl w:val="0"/>
          <w:numId w:val="2"/>
        </w:numPr>
        <w:spacing w:line="240" w:lineRule="auto"/>
        <w:contextualSpacing/>
      </w:pPr>
      <w:r w:rsidRPr="00546C6C">
        <w:t xml:space="preserve">Rising Star &amp; Title I: </w:t>
      </w:r>
      <w:proofErr w:type="spellStart"/>
      <w:r w:rsidRPr="00546C6C">
        <w:t>Schoolwide</w:t>
      </w:r>
      <w:proofErr w:type="spellEnd"/>
      <w:r w:rsidRPr="00546C6C">
        <w:t xml:space="preserve"> &amp; District Title I Plans </w:t>
      </w:r>
      <w:hyperlink r:id="rId12" w:history="1">
        <w:r w:rsidRPr="00546C6C">
          <w:rPr>
            <w:rStyle w:val="Hyperlink"/>
          </w:rPr>
          <w:t>www.isbe.net/asx/2013/Int_Title1_Dist_Plans_Rising_ Star_060513.asx</w:t>
        </w:r>
      </w:hyperlink>
    </w:p>
    <w:p w:rsidR="00591953" w:rsidRPr="00546C6C" w:rsidRDefault="000D35C9" w:rsidP="00EB0EA3">
      <w:pPr>
        <w:numPr>
          <w:ilvl w:val="0"/>
          <w:numId w:val="2"/>
        </w:numPr>
        <w:spacing w:line="240" w:lineRule="auto"/>
        <w:contextualSpacing/>
      </w:pPr>
      <w:r w:rsidRPr="00546C6C">
        <w:t xml:space="preserve">IARSS – </w:t>
      </w:r>
      <w:r w:rsidR="00546C6C" w:rsidRPr="00546C6C">
        <w:t xml:space="preserve">This organization, Illinois Association of Regional Superintendents of Schools, houses all of the materials, facilitator’s guides, PowerPoints, etc. for Foundational Services.  This particular link is specific to Continuous Improvement Planning, but all topic areas are housed here and are free for use around the state.  There are also names and e-mails of specialists in your Region to help support your work and we encourage you to contact your local ROE if you are interested in attending these types of trainings or Networking sessions with other schools on these particular topics. </w:t>
      </w:r>
      <w:hyperlink r:id="rId13" w:history="1">
        <w:r w:rsidR="00546C6C" w:rsidRPr="00546C6C">
          <w:rPr>
            <w:rStyle w:val="Hyperlink"/>
          </w:rPr>
          <w:t>http://iarss.org/?page_id=157</w:t>
        </w:r>
      </w:hyperlink>
    </w:p>
    <w:sectPr w:rsidR="00591953" w:rsidRPr="00546C6C" w:rsidSect="00EB0EA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3F" w:rsidRDefault="009E333F" w:rsidP="00CA031F">
      <w:pPr>
        <w:spacing w:after="0" w:line="240" w:lineRule="auto"/>
      </w:pPr>
      <w:r>
        <w:separator/>
      </w:r>
    </w:p>
  </w:endnote>
  <w:endnote w:type="continuationSeparator" w:id="0">
    <w:p w:rsidR="009E333F" w:rsidRDefault="009E333F" w:rsidP="00CA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3F" w:rsidRDefault="009E333F" w:rsidP="00CA031F">
      <w:pPr>
        <w:spacing w:after="0" w:line="240" w:lineRule="auto"/>
      </w:pPr>
      <w:r>
        <w:separator/>
      </w:r>
    </w:p>
  </w:footnote>
  <w:footnote w:type="continuationSeparator" w:id="0">
    <w:p w:rsidR="009E333F" w:rsidRDefault="009E333F" w:rsidP="00CA03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1F" w:rsidRPr="00CA031F" w:rsidRDefault="00CA031F" w:rsidP="00694FA4">
    <w:pPr>
      <w:pStyle w:val="Header"/>
      <w:jc w:val="center"/>
      <w:rPr>
        <w:sz w:val="24"/>
        <w:szCs w:val="24"/>
      </w:rPr>
    </w:pPr>
    <w:r>
      <w:rPr>
        <w:sz w:val="24"/>
        <w:szCs w:val="24"/>
      </w:rPr>
      <w:t>Continuous Improvement Planning Presentation – NCLB Conference February 3-5, 2-15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910"/>
    <w:multiLevelType w:val="hybridMultilevel"/>
    <w:tmpl w:val="6F54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7EA2"/>
    <w:multiLevelType w:val="hybridMultilevel"/>
    <w:tmpl w:val="B42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51"/>
    <w:rsid w:val="000C302E"/>
    <w:rsid w:val="000D35C9"/>
    <w:rsid w:val="00257F22"/>
    <w:rsid w:val="00295642"/>
    <w:rsid w:val="004B495C"/>
    <w:rsid w:val="00546C6C"/>
    <w:rsid w:val="00591953"/>
    <w:rsid w:val="00594A51"/>
    <w:rsid w:val="005D2B15"/>
    <w:rsid w:val="006763A8"/>
    <w:rsid w:val="00694FA4"/>
    <w:rsid w:val="007944E5"/>
    <w:rsid w:val="00870334"/>
    <w:rsid w:val="008B1B86"/>
    <w:rsid w:val="009E333F"/>
    <w:rsid w:val="00BB5CF7"/>
    <w:rsid w:val="00CA031F"/>
    <w:rsid w:val="00D067D6"/>
    <w:rsid w:val="00EB0EA3"/>
    <w:rsid w:val="00F7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5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94A51"/>
    <w:rPr>
      <w:color w:val="0563C1" w:themeColor="hyperlink"/>
      <w:u w:val="single"/>
    </w:rPr>
  </w:style>
  <w:style w:type="table" w:styleId="TableGrid">
    <w:name w:val="Table Grid"/>
    <w:basedOn w:val="TableNormal"/>
    <w:uiPriority w:val="39"/>
    <w:rsid w:val="0059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1F"/>
    <w:rPr>
      <w:rFonts w:ascii="Calibri" w:eastAsia="Calibri" w:hAnsi="Calibri" w:cs="Times New Roman"/>
    </w:rPr>
  </w:style>
  <w:style w:type="paragraph" w:styleId="Footer">
    <w:name w:val="footer"/>
    <w:basedOn w:val="Normal"/>
    <w:link w:val="FooterChar"/>
    <w:uiPriority w:val="99"/>
    <w:unhideWhenUsed/>
    <w:rsid w:val="00CA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1F"/>
    <w:rPr>
      <w:rFonts w:ascii="Calibri" w:eastAsia="Calibri" w:hAnsi="Calibri" w:cs="Times New Roman"/>
    </w:rPr>
  </w:style>
  <w:style w:type="character" w:styleId="FollowedHyperlink">
    <w:name w:val="FollowedHyperlink"/>
    <w:basedOn w:val="DefaultParagraphFont"/>
    <w:uiPriority w:val="99"/>
    <w:semiHidden/>
    <w:unhideWhenUsed/>
    <w:rsid w:val="000D35C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5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94A51"/>
    <w:rPr>
      <w:color w:val="0563C1" w:themeColor="hyperlink"/>
      <w:u w:val="single"/>
    </w:rPr>
  </w:style>
  <w:style w:type="table" w:styleId="TableGrid">
    <w:name w:val="Table Grid"/>
    <w:basedOn w:val="TableNormal"/>
    <w:uiPriority w:val="39"/>
    <w:rsid w:val="0059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1F"/>
    <w:rPr>
      <w:rFonts w:ascii="Calibri" w:eastAsia="Calibri" w:hAnsi="Calibri" w:cs="Times New Roman"/>
    </w:rPr>
  </w:style>
  <w:style w:type="paragraph" w:styleId="Footer">
    <w:name w:val="footer"/>
    <w:basedOn w:val="Normal"/>
    <w:link w:val="FooterChar"/>
    <w:uiPriority w:val="99"/>
    <w:unhideWhenUsed/>
    <w:rsid w:val="00CA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1F"/>
    <w:rPr>
      <w:rFonts w:ascii="Calibri" w:eastAsia="Calibri" w:hAnsi="Calibri" w:cs="Times New Roman"/>
    </w:rPr>
  </w:style>
  <w:style w:type="character" w:styleId="FollowedHyperlink">
    <w:name w:val="FollowedHyperlink"/>
    <w:basedOn w:val="DefaultParagraphFont"/>
    <w:uiPriority w:val="99"/>
    <w:semiHidden/>
    <w:unhideWhenUsed/>
    <w:rsid w:val="000D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shark.com/IllinoisPrincipalsAssoc/rs_board" TargetMode="External"/><Relationship Id="rId12" Type="http://schemas.openxmlformats.org/officeDocument/2006/relationships/hyperlink" Target="http://www.isbe.net/asx/2013/Int_Title1_Dist_Plans_Rising_%20Star_060513.asx" TargetMode="External"/><Relationship Id="rId13" Type="http://schemas.openxmlformats.org/officeDocument/2006/relationships/hyperlink" Target="http://iarss.org/?page_id=157"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istar.org/VideoPlayer/IndicatorsNow.aspx" TargetMode="External"/><Relationship Id="rId9" Type="http://schemas.openxmlformats.org/officeDocument/2006/relationships/hyperlink" Target="https://www2.ed.gov/policy/elsec/guid/schoolimprovementguid.pdf" TargetMode="External"/><Relationship Id="rId10" Type="http://schemas.openxmlformats.org/officeDocument/2006/relationships/hyperlink" Target="http://www.brainshark.com/IllinoisPrincipalsAssoc/rs_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Dees</dc:creator>
  <cp:keywords/>
  <dc:description/>
  <cp:lastModifiedBy>Ellen Kamps</cp:lastModifiedBy>
  <cp:revision>2</cp:revision>
  <dcterms:created xsi:type="dcterms:W3CDTF">2015-02-23T18:35:00Z</dcterms:created>
  <dcterms:modified xsi:type="dcterms:W3CDTF">2015-02-23T18:35:00Z</dcterms:modified>
</cp:coreProperties>
</file>