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72" w:rsidRDefault="00D63972"/>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AD7855">
      <w:pPr>
        <w:rPr>
          <w:rFonts w:asciiTheme="minorHAnsi" w:hAnsiTheme="minorHAnsi"/>
          <w:b/>
          <w:sz w:val="32"/>
          <w:szCs w:val="32"/>
        </w:rPr>
      </w:pPr>
    </w:p>
    <w:p w:rsidR="00BA48F8" w:rsidRDefault="00BA48F8"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r>
        <w:rPr>
          <w:rFonts w:asciiTheme="minorHAnsi" w:hAnsiTheme="minorHAnsi"/>
          <w:b/>
          <w:sz w:val="32"/>
          <w:szCs w:val="32"/>
        </w:rPr>
        <w:t>Module 2: Joint Committee Decisions</w:t>
      </w:r>
    </w:p>
    <w:p w:rsidR="00AD7855" w:rsidRPr="00AD7855" w:rsidRDefault="004D43C9" w:rsidP="00D63972">
      <w:pPr>
        <w:jc w:val="center"/>
        <w:rPr>
          <w:rFonts w:asciiTheme="minorHAnsi" w:hAnsiTheme="minorHAnsi"/>
          <w:sz w:val="16"/>
          <w:szCs w:val="16"/>
        </w:rPr>
      </w:pPr>
      <w:r>
        <w:rPr>
          <w:rFonts w:asciiTheme="minorHAnsi" w:hAnsiTheme="minorHAnsi"/>
          <w:sz w:val="16"/>
          <w:szCs w:val="16"/>
        </w:rPr>
        <w:t>Updated 9-10</w:t>
      </w:r>
      <w:r w:rsidR="00AD7855">
        <w:rPr>
          <w:rFonts w:asciiTheme="minorHAnsi" w:hAnsiTheme="minorHAnsi"/>
          <w:sz w:val="16"/>
          <w:szCs w:val="16"/>
        </w:rPr>
        <w:t>-15</w:t>
      </w:r>
    </w:p>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Pr>
        <w:sectPr w:rsidR="00D63972" w:rsidSect="0032396A">
          <w:footerReference w:type="default" r:id="rId7"/>
          <w:headerReference w:type="first" r:id="rId8"/>
          <w:footerReference w:type="first" r:id="rId9"/>
          <w:pgSz w:w="12240" w:h="15840"/>
          <w:pgMar w:top="1440" w:right="1440" w:bottom="1440" w:left="1440" w:header="720" w:footer="720" w:gutter="0"/>
          <w:cols w:space="720"/>
          <w:docGrid w:linePitch="360"/>
        </w:sectPr>
      </w:pPr>
    </w:p>
    <w:p w:rsidR="00D63972" w:rsidRPr="00D63972" w:rsidRDefault="00D63972" w:rsidP="00D63972">
      <w:pPr>
        <w:jc w:val="center"/>
        <w:rPr>
          <w:rFonts w:asciiTheme="minorHAnsi" w:hAnsiTheme="minorHAnsi" w:cstheme="minorHAnsi"/>
          <w:b/>
          <w:color w:val="1F497D" w:themeColor="text2"/>
          <w:sz w:val="22"/>
          <w:szCs w:val="22"/>
        </w:rPr>
      </w:pPr>
      <w:r w:rsidRPr="00D63972">
        <w:rPr>
          <w:rFonts w:asciiTheme="minorHAnsi" w:hAnsiTheme="minorHAnsi" w:cstheme="minorHAnsi"/>
          <w:b/>
          <w:color w:val="1F497D" w:themeColor="text2"/>
          <w:sz w:val="22"/>
          <w:szCs w:val="22"/>
        </w:rPr>
        <w:lastRenderedPageBreak/>
        <w:t>Illinois State Board of Education</w:t>
      </w:r>
    </w:p>
    <w:p w:rsidR="00D63972" w:rsidRDefault="00AD7855" w:rsidP="00D63972">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FY 16</w:t>
      </w:r>
      <w:r w:rsidR="00D63972" w:rsidRPr="00D63972">
        <w:rPr>
          <w:rFonts w:asciiTheme="minorHAnsi" w:hAnsiTheme="minorHAnsi" w:cstheme="minorHAnsi"/>
          <w:b/>
          <w:color w:val="1F497D" w:themeColor="text2"/>
          <w:sz w:val="22"/>
          <w:szCs w:val="22"/>
        </w:rPr>
        <w:t xml:space="preserve"> Statewide System of Support</w:t>
      </w:r>
    </w:p>
    <w:p w:rsidR="00D63972" w:rsidRPr="00D63972" w:rsidRDefault="00D63972" w:rsidP="00D63972">
      <w:pPr>
        <w:jc w:val="center"/>
        <w:rPr>
          <w:rFonts w:asciiTheme="minorHAnsi" w:hAnsiTheme="minorHAnsi" w:cstheme="minorHAnsi"/>
          <w:b/>
          <w:color w:val="1F497D" w:themeColor="text2"/>
          <w:sz w:val="22"/>
          <w:szCs w:val="22"/>
        </w:rPr>
      </w:pPr>
    </w:p>
    <w:p w:rsidR="00D63972" w:rsidRDefault="00AD0A3F" w:rsidP="00D63972">
      <w:pPr>
        <w:jc w:val="center"/>
        <w:rPr>
          <w:rFonts w:asciiTheme="minorHAnsi" w:hAnsiTheme="minorHAnsi"/>
          <w:b/>
          <w:color w:val="000000" w:themeColor="text1"/>
          <w:sz w:val="22"/>
          <w:szCs w:val="22"/>
        </w:rPr>
      </w:pPr>
      <w:r>
        <w:rPr>
          <w:rFonts w:asciiTheme="minorHAnsi" w:hAnsiTheme="minorHAnsi"/>
          <w:b/>
          <w:color w:val="000000" w:themeColor="text1"/>
          <w:sz w:val="22"/>
          <w:szCs w:val="22"/>
        </w:rPr>
        <w:t>Facilitator Guide</w:t>
      </w:r>
    </w:p>
    <w:p w:rsidR="00AD0A3F" w:rsidRPr="00D63972" w:rsidRDefault="00AD0A3F" w:rsidP="00D63972">
      <w:pPr>
        <w:jc w:val="center"/>
        <w:rPr>
          <w:rFonts w:asciiTheme="minorHAnsi" w:hAnsiTheme="minorHAnsi"/>
          <w:b/>
          <w:color w:val="000000" w:themeColor="text1"/>
          <w:sz w:val="22"/>
          <w:szCs w:val="22"/>
        </w:rPr>
      </w:pPr>
    </w:p>
    <w:tbl>
      <w:tblPr>
        <w:tblW w:w="13140" w:type="dxa"/>
        <w:tblInd w:w="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160"/>
        <w:gridCol w:w="10980"/>
      </w:tblGrid>
      <w:tr w:rsidR="00D63972" w:rsidRPr="00D63972" w:rsidTr="00535FA8">
        <w:tc>
          <w:tcPr>
            <w:tcW w:w="2160" w:type="dxa"/>
            <w:shd w:val="clear" w:color="auto" w:fill="DBE5F1" w:themeFill="accent1" w:themeFillTint="33"/>
          </w:tcPr>
          <w:p w:rsidR="00D63972" w:rsidRP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 xml:space="preserve">Training Title </w:t>
            </w:r>
          </w:p>
        </w:tc>
        <w:tc>
          <w:tcPr>
            <w:tcW w:w="10980" w:type="dxa"/>
            <w:shd w:val="clear" w:color="auto" w:fill="DBE5F1" w:themeFill="accent1" w:themeFillTint="33"/>
          </w:tcPr>
          <w:p w:rsidR="00D63972" w:rsidRP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Performance Evaluation Reform (PERA) Training</w:t>
            </w:r>
          </w:p>
          <w:p w:rsidR="00D63972" w:rsidRDefault="00D63972" w:rsidP="00DB1471">
            <w:pPr>
              <w:spacing w:before="120"/>
              <w:rPr>
                <w:rFonts w:asciiTheme="minorHAnsi" w:eastAsia="Cambria" w:hAnsiTheme="minorHAnsi" w:cstheme="minorHAnsi"/>
                <w:sz w:val="22"/>
                <w:szCs w:val="22"/>
              </w:rPr>
            </w:pPr>
            <w:r>
              <w:rPr>
                <w:rFonts w:asciiTheme="minorHAnsi" w:eastAsia="Cambria" w:hAnsiTheme="minorHAnsi" w:cstheme="minorHAnsi"/>
                <w:sz w:val="22"/>
                <w:szCs w:val="22"/>
              </w:rPr>
              <w:t>Module 2</w:t>
            </w:r>
            <w:r w:rsidRPr="00D63972">
              <w:rPr>
                <w:rFonts w:asciiTheme="minorHAnsi" w:eastAsia="Cambria" w:hAnsiTheme="minorHAnsi" w:cstheme="minorHAnsi"/>
                <w:sz w:val="22"/>
                <w:szCs w:val="22"/>
              </w:rPr>
              <w:t xml:space="preserve">: </w:t>
            </w:r>
            <w:r>
              <w:rPr>
                <w:rFonts w:asciiTheme="minorHAnsi" w:eastAsia="Cambria" w:hAnsiTheme="minorHAnsi" w:cstheme="minorHAnsi"/>
                <w:sz w:val="22"/>
                <w:szCs w:val="22"/>
              </w:rPr>
              <w:t>Joint Committee Decisions</w:t>
            </w:r>
          </w:p>
          <w:p w:rsidR="00DB1471" w:rsidRPr="00D63972" w:rsidRDefault="00DB1471" w:rsidP="00DB1471">
            <w:pPr>
              <w:spacing w:before="120"/>
              <w:rPr>
                <w:rFonts w:asciiTheme="minorHAnsi" w:eastAsia="Cambria" w:hAnsiTheme="minorHAnsi" w:cstheme="minorHAnsi"/>
                <w:b/>
                <w:sz w:val="22"/>
                <w:szCs w:val="22"/>
              </w:rPr>
            </w:pPr>
          </w:p>
        </w:tc>
      </w:tr>
      <w:tr w:rsidR="00D63972" w:rsidRPr="00D63972" w:rsidTr="00535FA8">
        <w:trPr>
          <w:trHeight w:val="602"/>
        </w:trPr>
        <w:tc>
          <w:tcPr>
            <w:tcW w:w="2160" w:type="dxa"/>
            <w:shd w:val="clear" w:color="auto" w:fill="DBE5F1" w:themeFill="accent1" w:themeFillTint="33"/>
          </w:tcPr>
          <w:p w:rsidR="00D63972" w:rsidRP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 xml:space="preserve">Objectives </w:t>
            </w:r>
          </w:p>
        </w:tc>
        <w:tc>
          <w:tcPr>
            <w:tcW w:w="10980" w:type="dxa"/>
            <w:shd w:val="clear" w:color="auto" w:fill="DBE5F1" w:themeFill="accent1" w:themeFillTint="33"/>
          </w:tcPr>
          <w:p w:rsidR="00D63972" w:rsidRPr="00D63972" w:rsidRDefault="0032396A" w:rsidP="00DB1471">
            <w:pPr>
              <w:rPr>
                <w:rFonts w:asciiTheme="minorHAnsi" w:hAnsiTheme="minorHAnsi" w:cstheme="minorBidi"/>
                <w:sz w:val="22"/>
                <w:szCs w:val="22"/>
              </w:rPr>
            </w:pPr>
            <w:r w:rsidRPr="00AB1B1F">
              <w:rPr>
                <w:rFonts w:asciiTheme="minorHAnsi" w:hAnsiTheme="minorHAnsi"/>
                <w:sz w:val="22"/>
                <w:szCs w:val="22"/>
              </w:rPr>
              <w:t>Following this module, participants will be able</w:t>
            </w:r>
            <w:r>
              <w:rPr>
                <w:rFonts w:asciiTheme="minorHAnsi" w:hAnsiTheme="minorHAnsi"/>
                <w:sz w:val="22"/>
                <w:szCs w:val="22"/>
              </w:rPr>
              <w:t xml:space="preserve"> to identify</w:t>
            </w:r>
            <w:r w:rsidR="00E17847">
              <w:rPr>
                <w:rFonts w:asciiTheme="minorHAnsi" w:hAnsiTheme="minorHAnsi"/>
                <w:sz w:val="22"/>
                <w:szCs w:val="22"/>
              </w:rPr>
              <w:t xml:space="preserve"> steps </w:t>
            </w:r>
            <w:bookmarkStart w:id="0" w:name="_GoBack"/>
            <w:bookmarkEnd w:id="0"/>
            <w:r w:rsidR="004D43C9">
              <w:rPr>
                <w:rFonts w:asciiTheme="minorHAnsi" w:hAnsiTheme="minorHAnsi"/>
                <w:sz w:val="22"/>
                <w:szCs w:val="22"/>
              </w:rPr>
              <w:t>and critical</w:t>
            </w:r>
            <w:r>
              <w:rPr>
                <w:rFonts w:asciiTheme="minorHAnsi" w:hAnsiTheme="minorHAnsi"/>
                <w:sz w:val="22"/>
                <w:szCs w:val="22"/>
              </w:rPr>
              <w:t xml:space="preserve"> questions for the joint committee to consider.</w:t>
            </w:r>
          </w:p>
        </w:tc>
      </w:tr>
      <w:tr w:rsidR="00D63972" w:rsidRPr="00D63972" w:rsidTr="00535FA8">
        <w:tc>
          <w:tcPr>
            <w:tcW w:w="2160" w:type="dxa"/>
            <w:shd w:val="clear" w:color="auto" w:fill="DBE5F1" w:themeFill="accent1" w:themeFillTint="33"/>
          </w:tcPr>
          <w:p w:rsidR="00D63972" w:rsidRPr="00D63972" w:rsidRDefault="00D63972" w:rsidP="00DB1471">
            <w:pPr>
              <w:spacing w:before="60"/>
              <w:rPr>
                <w:rFonts w:asciiTheme="minorHAnsi" w:eastAsia="Cambria" w:hAnsiTheme="minorHAnsi" w:cstheme="minorHAnsi"/>
                <w:sz w:val="22"/>
                <w:szCs w:val="22"/>
              </w:rPr>
            </w:pPr>
            <w:r w:rsidRPr="00D63972">
              <w:rPr>
                <w:rFonts w:asciiTheme="minorHAnsi" w:eastAsia="Cambria" w:hAnsiTheme="minorHAnsi" w:cstheme="minorHAnsi"/>
                <w:sz w:val="22"/>
                <w:szCs w:val="22"/>
              </w:rPr>
              <w:t>Planning Considerations</w:t>
            </w:r>
          </w:p>
        </w:tc>
        <w:tc>
          <w:tcPr>
            <w:tcW w:w="10980" w:type="dxa"/>
            <w:shd w:val="clear" w:color="auto" w:fill="DBE5F1" w:themeFill="accent1" w:themeFillTint="33"/>
          </w:tcPr>
          <w:p w:rsidR="00D63972" w:rsidRPr="00D63972" w:rsidRDefault="00D63972" w:rsidP="00DB1471">
            <w:pPr>
              <w:rPr>
                <w:rFonts w:asciiTheme="minorHAnsi" w:hAnsiTheme="minorHAnsi"/>
                <w:sz w:val="22"/>
                <w:szCs w:val="22"/>
              </w:rPr>
            </w:pPr>
            <w:r w:rsidRPr="00D63972">
              <w:rPr>
                <w:rFonts w:asciiTheme="minorHAnsi" w:hAnsiTheme="minorHAnsi"/>
                <w:b/>
                <w:sz w:val="22"/>
                <w:szCs w:val="22"/>
              </w:rPr>
              <w:t>Estimated Time:</w:t>
            </w:r>
            <w:r w:rsidR="00E17847">
              <w:rPr>
                <w:rFonts w:asciiTheme="minorHAnsi" w:hAnsiTheme="minorHAnsi"/>
                <w:sz w:val="22"/>
                <w:szCs w:val="22"/>
              </w:rPr>
              <w:t xml:space="preserve"> 3</w:t>
            </w:r>
            <w:r w:rsidRPr="00D63972">
              <w:rPr>
                <w:rFonts w:asciiTheme="minorHAnsi" w:hAnsiTheme="minorHAnsi"/>
                <w:sz w:val="22"/>
                <w:szCs w:val="22"/>
              </w:rPr>
              <w:t xml:space="preserve"> Hours </w:t>
            </w:r>
          </w:p>
          <w:p w:rsidR="0032396A" w:rsidRDefault="0032396A" w:rsidP="00DB1471">
            <w:pPr>
              <w:rPr>
                <w:rFonts w:asciiTheme="minorHAnsi" w:hAnsiTheme="minorHAnsi"/>
                <w:b/>
                <w:sz w:val="22"/>
                <w:szCs w:val="22"/>
              </w:rPr>
            </w:pPr>
          </w:p>
          <w:p w:rsidR="0032396A" w:rsidRDefault="0032396A" w:rsidP="00DB1471">
            <w:pPr>
              <w:rPr>
                <w:rFonts w:asciiTheme="minorHAnsi" w:hAnsiTheme="minorHAnsi"/>
                <w:b/>
                <w:sz w:val="22"/>
                <w:szCs w:val="22"/>
              </w:rPr>
            </w:pPr>
            <w:r w:rsidRPr="00A23B09">
              <w:rPr>
                <w:rFonts w:asciiTheme="minorHAnsi" w:hAnsiTheme="minorHAnsi"/>
                <w:b/>
                <w:sz w:val="22"/>
                <w:szCs w:val="22"/>
              </w:rPr>
              <w:t>Materials</w:t>
            </w:r>
            <w:r>
              <w:rPr>
                <w:rFonts w:asciiTheme="minorHAnsi" w:hAnsiTheme="minorHAnsi"/>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1"/>
              <w:gridCol w:w="6858"/>
            </w:tblGrid>
            <w:tr w:rsidR="0032396A" w:rsidRPr="00D63972" w:rsidTr="00535FA8">
              <w:tc>
                <w:tcPr>
                  <w:tcW w:w="2831" w:type="dxa"/>
                </w:tcPr>
                <w:p w:rsidR="0032396A" w:rsidRPr="00D63972" w:rsidRDefault="0032396A" w:rsidP="00DB1471">
                  <w:pPr>
                    <w:numPr>
                      <w:ilvl w:val="0"/>
                      <w:numId w:val="2"/>
                    </w:numPr>
                    <w:ind w:left="360"/>
                    <w:rPr>
                      <w:rFonts w:asciiTheme="minorHAnsi" w:hAnsiTheme="minorHAnsi"/>
                      <w:b/>
                      <w:sz w:val="22"/>
                      <w:szCs w:val="22"/>
                    </w:rPr>
                  </w:pPr>
                  <w:r w:rsidRPr="00D63972">
                    <w:rPr>
                      <w:rFonts w:asciiTheme="minorHAnsi" w:hAnsiTheme="minorHAnsi"/>
                      <w:sz w:val="22"/>
                      <w:szCs w:val="22"/>
                    </w:rPr>
                    <w:t>Computer</w:t>
                  </w:r>
                </w:p>
                <w:p w:rsidR="0032396A" w:rsidRPr="00D63972" w:rsidRDefault="0032396A" w:rsidP="00DB1471">
                  <w:pPr>
                    <w:numPr>
                      <w:ilvl w:val="0"/>
                      <w:numId w:val="2"/>
                    </w:numPr>
                    <w:ind w:left="360"/>
                    <w:rPr>
                      <w:rFonts w:asciiTheme="minorHAnsi" w:hAnsiTheme="minorHAnsi"/>
                      <w:b/>
                      <w:sz w:val="22"/>
                      <w:szCs w:val="22"/>
                    </w:rPr>
                  </w:pPr>
                  <w:r w:rsidRPr="00D63972">
                    <w:rPr>
                      <w:rFonts w:asciiTheme="minorHAnsi" w:hAnsiTheme="minorHAnsi"/>
                      <w:sz w:val="22"/>
                      <w:szCs w:val="22"/>
                    </w:rPr>
                    <w:t>Computer speakers</w:t>
                  </w:r>
                </w:p>
                <w:p w:rsidR="0032396A" w:rsidRPr="00D63972" w:rsidRDefault="0032396A" w:rsidP="00DB1471">
                  <w:pPr>
                    <w:numPr>
                      <w:ilvl w:val="0"/>
                      <w:numId w:val="2"/>
                    </w:numPr>
                    <w:ind w:left="360"/>
                    <w:rPr>
                      <w:rFonts w:asciiTheme="minorHAnsi" w:hAnsiTheme="minorHAnsi"/>
                      <w:b/>
                      <w:sz w:val="22"/>
                      <w:szCs w:val="22"/>
                    </w:rPr>
                  </w:pPr>
                  <w:r w:rsidRPr="00D63972">
                    <w:rPr>
                      <w:rFonts w:asciiTheme="minorHAnsi" w:hAnsiTheme="minorHAnsi"/>
                      <w:sz w:val="22"/>
                      <w:szCs w:val="22"/>
                    </w:rPr>
                    <w:t>Projector</w:t>
                  </w:r>
                </w:p>
              </w:tc>
              <w:tc>
                <w:tcPr>
                  <w:tcW w:w="6858" w:type="dxa"/>
                </w:tcPr>
                <w:p w:rsidR="0032396A" w:rsidRPr="00D63972" w:rsidRDefault="0032396A" w:rsidP="00DB1471">
                  <w:pPr>
                    <w:numPr>
                      <w:ilvl w:val="0"/>
                      <w:numId w:val="2"/>
                    </w:numPr>
                    <w:ind w:left="360"/>
                    <w:rPr>
                      <w:rFonts w:asciiTheme="minorHAnsi" w:hAnsiTheme="minorHAnsi"/>
                      <w:b/>
                      <w:sz w:val="22"/>
                      <w:szCs w:val="22"/>
                    </w:rPr>
                  </w:pPr>
                  <w:r w:rsidRPr="00D63972">
                    <w:rPr>
                      <w:rFonts w:asciiTheme="minorHAnsi" w:hAnsiTheme="minorHAnsi"/>
                      <w:sz w:val="22"/>
                      <w:szCs w:val="22"/>
                    </w:rPr>
                    <w:t>Chart paper</w:t>
                  </w:r>
                </w:p>
                <w:p w:rsidR="0032396A" w:rsidRPr="00D63972" w:rsidRDefault="0032396A" w:rsidP="00DB1471">
                  <w:pPr>
                    <w:numPr>
                      <w:ilvl w:val="0"/>
                      <w:numId w:val="2"/>
                    </w:numPr>
                    <w:ind w:left="360"/>
                    <w:rPr>
                      <w:rFonts w:asciiTheme="minorHAnsi" w:hAnsiTheme="minorHAnsi"/>
                      <w:b/>
                      <w:sz w:val="22"/>
                      <w:szCs w:val="22"/>
                    </w:rPr>
                  </w:pPr>
                  <w:r w:rsidRPr="00D63972">
                    <w:rPr>
                      <w:rFonts w:asciiTheme="minorHAnsi" w:hAnsiTheme="minorHAnsi"/>
                      <w:sz w:val="22"/>
                      <w:szCs w:val="22"/>
                    </w:rPr>
                    <w:t>Sticky notes</w:t>
                  </w:r>
                </w:p>
                <w:p w:rsidR="0032396A" w:rsidRPr="00D63972" w:rsidRDefault="0032396A" w:rsidP="00DB1471">
                  <w:pPr>
                    <w:numPr>
                      <w:ilvl w:val="0"/>
                      <w:numId w:val="2"/>
                    </w:numPr>
                    <w:ind w:left="360"/>
                    <w:rPr>
                      <w:rFonts w:asciiTheme="minorHAnsi" w:hAnsiTheme="minorHAnsi"/>
                      <w:b/>
                      <w:sz w:val="22"/>
                      <w:szCs w:val="22"/>
                    </w:rPr>
                  </w:pPr>
                  <w:r w:rsidRPr="00D63972">
                    <w:rPr>
                      <w:rFonts w:asciiTheme="minorHAnsi" w:hAnsiTheme="minorHAnsi"/>
                      <w:sz w:val="22"/>
                      <w:szCs w:val="22"/>
                    </w:rPr>
                    <w:t>Markers</w:t>
                  </w:r>
                </w:p>
              </w:tc>
            </w:tr>
          </w:tbl>
          <w:p w:rsidR="00D63972" w:rsidRDefault="00D63972" w:rsidP="00DB1471">
            <w:pPr>
              <w:rPr>
                <w:rFonts w:asciiTheme="minorHAnsi" w:eastAsia="Cambria" w:hAnsiTheme="minorHAnsi" w:cstheme="minorHAnsi"/>
                <w:sz w:val="22"/>
                <w:szCs w:val="22"/>
              </w:rPr>
            </w:pPr>
          </w:p>
          <w:p w:rsidR="0032396A" w:rsidRPr="00B06764" w:rsidRDefault="0032396A" w:rsidP="00DB1471">
            <w:pPr>
              <w:rPr>
                <w:rFonts w:asciiTheme="minorHAnsi" w:hAnsiTheme="minorHAnsi"/>
                <w:b/>
                <w:sz w:val="22"/>
                <w:szCs w:val="22"/>
              </w:rPr>
            </w:pPr>
            <w:r w:rsidRPr="00B06764">
              <w:rPr>
                <w:rFonts w:asciiTheme="minorHAnsi" w:hAnsiTheme="minorHAnsi"/>
                <w:b/>
                <w:sz w:val="22"/>
                <w:szCs w:val="22"/>
              </w:rPr>
              <w:t>Handouts: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2"/>
              <w:gridCol w:w="1607"/>
            </w:tblGrid>
            <w:tr w:rsidR="0032396A" w:rsidRPr="00D63972" w:rsidTr="0032396A">
              <w:trPr>
                <w:trHeight w:val="315"/>
              </w:trPr>
              <w:tc>
                <w:tcPr>
                  <w:tcW w:w="8082" w:type="dxa"/>
                </w:tcPr>
                <w:p w:rsidR="0032396A" w:rsidRDefault="0032396A" w:rsidP="00DB1471">
                  <w:pPr>
                    <w:numPr>
                      <w:ilvl w:val="0"/>
                      <w:numId w:val="2"/>
                    </w:numPr>
                    <w:ind w:left="324"/>
                    <w:rPr>
                      <w:rFonts w:asciiTheme="minorHAnsi" w:hAnsiTheme="minorHAnsi"/>
                      <w:sz w:val="22"/>
                      <w:szCs w:val="22"/>
                    </w:rPr>
                  </w:pPr>
                  <w:r>
                    <w:rPr>
                      <w:rFonts w:asciiTheme="minorHAnsi" w:hAnsiTheme="minorHAnsi"/>
                      <w:sz w:val="22"/>
                      <w:szCs w:val="22"/>
                    </w:rPr>
                    <w:t xml:space="preserve">Module 2 </w:t>
                  </w:r>
                  <w:r w:rsidRPr="004D4307">
                    <w:rPr>
                      <w:rFonts w:asciiTheme="minorHAnsi" w:hAnsiTheme="minorHAnsi"/>
                      <w:sz w:val="22"/>
                      <w:szCs w:val="22"/>
                    </w:rPr>
                    <w:t>Slide Deck</w:t>
                  </w:r>
                </w:p>
                <w:p w:rsidR="00E17847" w:rsidRDefault="00E17847" w:rsidP="00DB1471">
                  <w:pPr>
                    <w:numPr>
                      <w:ilvl w:val="0"/>
                      <w:numId w:val="2"/>
                    </w:numPr>
                    <w:ind w:left="324"/>
                    <w:rPr>
                      <w:rFonts w:asciiTheme="minorHAnsi" w:hAnsiTheme="minorHAnsi"/>
                      <w:sz w:val="22"/>
                      <w:szCs w:val="22"/>
                    </w:rPr>
                  </w:pPr>
                  <w:r>
                    <w:rPr>
                      <w:rFonts w:asciiTheme="minorHAnsi" w:hAnsiTheme="minorHAnsi"/>
                      <w:sz w:val="22"/>
                      <w:szCs w:val="22"/>
                    </w:rPr>
                    <w:t>Handout1.2 Assessment Inventory</w:t>
                  </w:r>
                </w:p>
                <w:p w:rsidR="0032396A" w:rsidRPr="004D4307" w:rsidRDefault="0032396A" w:rsidP="00DB1471">
                  <w:pPr>
                    <w:numPr>
                      <w:ilvl w:val="0"/>
                      <w:numId w:val="2"/>
                    </w:numPr>
                    <w:ind w:left="324"/>
                    <w:rPr>
                      <w:rFonts w:asciiTheme="minorHAnsi" w:hAnsiTheme="minorHAnsi"/>
                      <w:sz w:val="22"/>
                      <w:szCs w:val="22"/>
                    </w:rPr>
                  </w:pPr>
                  <w:r>
                    <w:rPr>
                      <w:rFonts w:asciiTheme="minorHAnsi" w:hAnsiTheme="minorHAnsi"/>
                      <w:sz w:val="22"/>
                      <w:szCs w:val="22"/>
                    </w:rPr>
                    <w:t>Handout 2: Supports and Barriers</w:t>
                  </w:r>
                </w:p>
                <w:p w:rsidR="0032396A" w:rsidRDefault="0032396A" w:rsidP="00DB1471">
                  <w:pPr>
                    <w:numPr>
                      <w:ilvl w:val="0"/>
                      <w:numId w:val="2"/>
                    </w:numPr>
                    <w:ind w:left="324"/>
                    <w:rPr>
                      <w:rFonts w:asciiTheme="minorHAnsi" w:hAnsiTheme="minorHAnsi"/>
                      <w:sz w:val="22"/>
                      <w:szCs w:val="22"/>
                    </w:rPr>
                  </w:pPr>
                  <w:r w:rsidRPr="004D4307">
                    <w:rPr>
                      <w:rFonts w:asciiTheme="minorHAnsi" w:hAnsiTheme="minorHAnsi"/>
                      <w:sz w:val="22"/>
                      <w:szCs w:val="22"/>
                    </w:rPr>
                    <w:t>PEAC Joint Committee Guidebook</w:t>
                  </w:r>
                  <w:r w:rsidR="00D66F3F">
                    <w:rPr>
                      <w:rFonts w:asciiTheme="minorHAnsi" w:hAnsiTheme="minorHAnsi"/>
                      <w:sz w:val="22"/>
                      <w:szCs w:val="22"/>
                    </w:rPr>
                    <w:t xml:space="preserve"> (1)</w:t>
                  </w:r>
                  <w:r w:rsidRPr="004D4307">
                    <w:rPr>
                      <w:rFonts w:asciiTheme="minorHAnsi" w:hAnsiTheme="minorHAnsi"/>
                      <w:sz w:val="22"/>
                      <w:szCs w:val="22"/>
                    </w:rPr>
                    <w:t xml:space="preserve">: </w:t>
                  </w:r>
                  <w:r>
                    <w:rPr>
                      <w:rFonts w:asciiTheme="minorHAnsi" w:hAnsiTheme="minorHAnsi"/>
                      <w:sz w:val="22"/>
                      <w:szCs w:val="22"/>
                    </w:rPr>
                    <w:t>Guidance on District Decision Making</w:t>
                  </w:r>
                  <w:r w:rsidR="00D66F3F">
                    <w:rPr>
                      <w:rFonts w:asciiTheme="minorHAnsi" w:hAnsiTheme="minorHAnsi"/>
                      <w:sz w:val="22"/>
                      <w:szCs w:val="22"/>
                    </w:rPr>
                    <w:t xml:space="preserve"> </w:t>
                  </w:r>
                </w:p>
                <w:p w:rsidR="0032396A" w:rsidRPr="004D4307" w:rsidRDefault="00DC527C" w:rsidP="00DB1471">
                  <w:pPr>
                    <w:numPr>
                      <w:ilvl w:val="1"/>
                      <w:numId w:val="2"/>
                    </w:numPr>
                    <w:rPr>
                      <w:rFonts w:asciiTheme="minorHAnsi" w:hAnsiTheme="minorHAnsi"/>
                      <w:sz w:val="22"/>
                      <w:szCs w:val="22"/>
                    </w:rPr>
                  </w:pPr>
                  <w:hyperlink r:id="rId10" w:history="1">
                    <w:r w:rsidR="0032396A" w:rsidRPr="00A93971">
                      <w:rPr>
                        <w:rStyle w:val="Hyperlink"/>
                        <w:rFonts w:asciiTheme="minorHAnsi" w:hAnsiTheme="minorHAnsi"/>
                        <w:sz w:val="22"/>
                        <w:szCs w:val="22"/>
                      </w:rPr>
                      <w:t>www.isbe.net/PEAC/pdf/guidance/13-3-dist-dec-making.pdf</w:t>
                    </w:r>
                  </w:hyperlink>
                  <w:r w:rsidR="0032396A">
                    <w:rPr>
                      <w:rFonts w:asciiTheme="minorHAnsi" w:hAnsiTheme="minorHAnsi"/>
                      <w:sz w:val="22"/>
                      <w:szCs w:val="22"/>
                    </w:rPr>
                    <w:t xml:space="preserve"> </w:t>
                  </w:r>
                </w:p>
                <w:p w:rsidR="0032396A" w:rsidRDefault="0032396A" w:rsidP="00DB1471">
                  <w:pPr>
                    <w:numPr>
                      <w:ilvl w:val="0"/>
                      <w:numId w:val="2"/>
                    </w:numPr>
                    <w:ind w:left="324"/>
                    <w:rPr>
                      <w:rFonts w:asciiTheme="minorHAnsi" w:hAnsiTheme="minorHAnsi"/>
                      <w:sz w:val="22"/>
                      <w:szCs w:val="22"/>
                    </w:rPr>
                  </w:pPr>
                  <w:r w:rsidRPr="004D4307">
                    <w:rPr>
                      <w:rFonts w:asciiTheme="minorHAnsi" w:hAnsiTheme="minorHAnsi"/>
                      <w:sz w:val="22"/>
                      <w:szCs w:val="22"/>
                    </w:rPr>
                    <w:t>PEAC Joint Committee Guidebook</w:t>
                  </w:r>
                  <w:r w:rsidR="00D66F3F">
                    <w:rPr>
                      <w:rFonts w:asciiTheme="minorHAnsi" w:hAnsiTheme="minorHAnsi"/>
                      <w:sz w:val="22"/>
                      <w:szCs w:val="22"/>
                    </w:rPr>
                    <w:t xml:space="preserve"> (2)</w:t>
                  </w:r>
                  <w:r w:rsidRPr="004D4307">
                    <w:rPr>
                      <w:rFonts w:asciiTheme="minorHAnsi" w:hAnsiTheme="minorHAnsi"/>
                      <w:sz w:val="22"/>
                      <w:szCs w:val="22"/>
                    </w:rPr>
                    <w:t xml:space="preserve">: Implementing the Student Growth Component in Teacher and Principal Evaluation Systems </w:t>
                  </w:r>
                </w:p>
                <w:p w:rsidR="0032396A" w:rsidRDefault="00DC527C" w:rsidP="00DB1471">
                  <w:pPr>
                    <w:numPr>
                      <w:ilvl w:val="1"/>
                      <w:numId w:val="2"/>
                    </w:numPr>
                    <w:rPr>
                      <w:rFonts w:asciiTheme="minorHAnsi" w:hAnsiTheme="minorHAnsi"/>
                      <w:sz w:val="22"/>
                      <w:szCs w:val="22"/>
                    </w:rPr>
                  </w:pPr>
                  <w:hyperlink r:id="rId11" w:history="1">
                    <w:r w:rsidR="0032396A" w:rsidRPr="00A93971">
                      <w:rPr>
                        <w:rStyle w:val="Hyperlink"/>
                        <w:rFonts w:asciiTheme="minorHAnsi" w:hAnsiTheme="minorHAnsi"/>
                        <w:sz w:val="22"/>
                        <w:szCs w:val="22"/>
                      </w:rPr>
                      <w:t>www.isbe.net/PEAC/pdf/student-growth-component-guidebook.pdf</w:t>
                    </w:r>
                  </w:hyperlink>
                  <w:r w:rsidR="0032396A">
                    <w:rPr>
                      <w:rFonts w:asciiTheme="minorHAnsi" w:hAnsiTheme="minorHAnsi"/>
                      <w:sz w:val="22"/>
                      <w:szCs w:val="22"/>
                    </w:rPr>
                    <w:t xml:space="preserve"> </w:t>
                  </w:r>
                </w:p>
                <w:p w:rsidR="0032396A" w:rsidRDefault="00D60266" w:rsidP="00DB1471">
                  <w:pPr>
                    <w:numPr>
                      <w:ilvl w:val="0"/>
                      <w:numId w:val="2"/>
                    </w:numPr>
                    <w:ind w:left="324"/>
                    <w:rPr>
                      <w:rFonts w:asciiTheme="minorHAnsi" w:hAnsiTheme="minorHAnsi"/>
                      <w:sz w:val="22"/>
                      <w:szCs w:val="22"/>
                    </w:rPr>
                  </w:pPr>
                  <w:r>
                    <w:rPr>
                      <w:rFonts w:asciiTheme="minorHAnsi" w:hAnsiTheme="minorHAnsi"/>
                      <w:sz w:val="22"/>
                      <w:szCs w:val="22"/>
                    </w:rPr>
                    <w:t>Summa</w:t>
                  </w:r>
                  <w:r w:rsidR="0032396A">
                    <w:rPr>
                      <w:rFonts w:asciiTheme="minorHAnsi" w:hAnsiTheme="minorHAnsi"/>
                      <w:sz w:val="22"/>
                      <w:szCs w:val="22"/>
                    </w:rPr>
                    <w:t xml:space="preserve">ry Handout </w:t>
                  </w:r>
                </w:p>
                <w:p w:rsidR="0032396A" w:rsidRDefault="0032396A" w:rsidP="00DB1471">
                  <w:pPr>
                    <w:numPr>
                      <w:ilvl w:val="0"/>
                      <w:numId w:val="2"/>
                    </w:numPr>
                    <w:ind w:left="324"/>
                    <w:rPr>
                      <w:rFonts w:asciiTheme="minorHAnsi" w:hAnsiTheme="minorHAnsi"/>
                      <w:sz w:val="22"/>
                      <w:szCs w:val="22"/>
                    </w:rPr>
                  </w:pPr>
                  <w:r>
                    <w:rPr>
                      <w:rFonts w:asciiTheme="minorHAnsi" w:hAnsiTheme="minorHAnsi"/>
                      <w:sz w:val="22"/>
                      <w:szCs w:val="22"/>
                    </w:rPr>
                    <w:t>Part 50 Checklist Handout</w:t>
                  </w:r>
                </w:p>
                <w:p w:rsidR="00DB1471" w:rsidRPr="0032396A" w:rsidRDefault="00DB1471" w:rsidP="00DB1471">
                  <w:pPr>
                    <w:ind w:left="324"/>
                    <w:rPr>
                      <w:rFonts w:asciiTheme="minorHAnsi" w:hAnsiTheme="minorHAnsi"/>
                      <w:sz w:val="22"/>
                      <w:szCs w:val="22"/>
                    </w:rPr>
                  </w:pPr>
                </w:p>
              </w:tc>
              <w:tc>
                <w:tcPr>
                  <w:tcW w:w="1607" w:type="dxa"/>
                </w:tcPr>
                <w:p w:rsidR="0032396A" w:rsidRPr="00D63972" w:rsidRDefault="0032396A" w:rsidP="00DB1471">
                  <w:pPr>
                    <w:ind w:left="360"/>
                    <w:rPr>
                      <w:rFonts w:asciiTheme="minorHAnsi" w:hAnsiTheme="minorHAnsi"/>
                      <w:b/>
                      <w:sz w:val="22"/>
                      <w:szCs w:val="22"/>
                    </w:rPr>
                  </w:pPr>
                </w:p>
              </w:tc>
            </w:tr>
          </w:tbl>
          <w:p w:rsidR="0032396A" w:rsidRPr="00D63972" w:rsidRDefault="0032396A" w:rsidP="00DB1471">
            <w:pPr>
              <w:rPr>
                <w:rFonts w:asciiTheme="minorHAnsi" w:eastAsia="Cambria" w:hAnsiTheme="minorHAnsi" w:cstheme="minorHAnsi"/>
                <w:sz w:val="22"/>
                <w:szCs w:val="22"/>
              </w:rPr>
            </w:pPr>
          </w:p>
        </w:tc>
      </w:tr>
    </w:tbl>
    <w:p w:rsidR="00D63972" w:rsidRDefault="00D63972" w:rsidP="00D63972"/>
    <w:p w:rsidR="0032396A" w:rsidRDefault="0032396A" w:rsidP="00D63972"/>
    <w:p w:rsidR="00D63972" w:rsidRDefault="00D63972" w:rsidP="00D63972"/>
    <w:tbl>
      <w:tblPr>
        <w:tblStyle w:val="MediumShading1-Accent1"/>
        <w:tblW w:w="0" w:type="auto"/>
        <w:tblBorders>
          <w:insideV w:val="single" w:sz="8" w:space="0" w:color="7BA0CD" w:themeColor="accent1" w:themeTint="BF"/>
        </w:tblBorders>
        <w:tblLayout w:type="fixed"/>
        <w:tblLook w:val="04A0" w:firstRow="1" w:lastRow="0" w:firstColumn="1" w:lastColumn="0" w:noHBand="0" w:noVBand="1"/>
      </w:tblPr>
      <w:tblGrid>
        <w:gridCol w:w="1728"/>
        <w:gridCol w:w="6480"/>
        <w:gridCol w:w="1440"/>
        <w:gridCol w:w="1350"/>
        <w:gridCol w:w="2178"/>
      </w:tblGrid>
      <w:tr w:rsidR="00D63972" w:rsidRPr="00D63972" w:rsidTr="00535F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rsidR="00D63972" w:rsidRPr="00D63972" w:rsidRDefault="00D63972" w:rsidP="00535FA8">
            <w:pPr>
              <w:rPr>
                <w:rFonts w:cstheme="minorHAnsi"/>
              </w:rPr>
            </w:pPr>
            <w:r w:rsidRPr="00D63972">
              <w:rPr>
                <w:rFonts w:cstheme="minorHAnsi"/>
              </w:rPr>
              <w:lastRenderedPageBreak/>
              <w:t>Content Focus</w:t>
            </w:r>
          </w:p>
        </w:tc>
        <w:tc>
          <w:tcPr>
            <w:tcW w:w="648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Content and Process</w:t>
            </w:r>
          </w:p>
        </w:tc>
        <w:tc>
          <w:tcPr>
            <w:tcW w:w="144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Materials/</w:t>
            </w:r>
          </w:p>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Resources</w:t>
            </w:r>
          </w:p>
        </w:tc>
        <w:tc>
          <w:tcPr>
            <w:tcW w:w="135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Estimated Time</w:t>
            </w:r>
          </w:p>
        </w:tc>
        <w:tc>
          <w:tcPr>
            <w:tcW w:w="2178" w:type="dxa"/>
            <w:tcBorders>
              <w:lef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Notes</w:t>
            </w:r>
          </w:p>
        </w:tc>
      </w:tr>
      <w:tr w:rsidR="00D63972" w:rsidRPr="00D63972" w:rsidTr="00D6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shd w:val="clear" w:color="auto" w:fill="FFFFFF" w:themeFill="background1"/>
            <w:vAlign w:val="center"/>
          </w:tcPr>
          <w:p w:rsidR="00D63972" w:rsidRPr="00D63972" w:rsidRDefault="0032396A" w:rsidP="00535FA8">
            <w:pPr>
              <w:rPr>
                <w:rFonts w:cstheme="minorHAnsi"/>
              </w:rPr>
            </w:pPr>
            <w:r>
              <w:rPr>
                <w:rFonts w:cstheme="minorHAnsi"/>
              </w:rPr>
              <w:t>Introduction</w:t>
            </w:r>
          </w:p>
        </w:tc>
        <w:tc>
          <w:tcPr>
            <w:tcW w:w="648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32396A" w:rsidRDefault="0032396A" w:rsidP="0032396A">
            <w:pPr>
              <w:cnfStyle w:val="000000100000" w:firstRow="0" w:lastRow="0" w:firstColumn="0" w:lastColumn="0" w:oddVBand="0" w:evenVBand="0" w:oddHBand="1" w:evenHBand="0" w:firstRowFirstColumn="0" w:firstRowLastColumn="0" w:lastRowFirstColumn="0" w:lastRowLastColumn="0"/>
              <w:rPr>
                <w:b/>
              </w:rPr>
            </w:pPr>
            <w:r>
              <w:rPr>
                <w:b/>
              </w:rPr>
              <w:t>Suggested Facilitation Process</w:t>
            </w:r>
          </w:p>
          <w:p w:rsidR="0032396A" w:rsidRPr="007E3363" w:rsidRDefault="0032396A" w:rsidP="0032396A">
            <w:pPr>
              <w:ind w:left="360"/>
              <w:cnfStyle w:val="000000100000" w:firstRow="0" w:lastRow="0" w:firstColumn="0" w:lastColumn="0" w:oddVBand="0" w:evenVBand="0" w:oddHBand="1" w:evenHBand="0" w:firstRowFirstColumn="0" w:firstRowLastColumn="0" w:lastRowFirstColumn="0" w:lastRowLastColumn="0"/>
              <w:rPr>
                <w:b/>
              </w:rPr>
            </w:pPr>
          </w:p>
          <w:p w:rsidR="0032396A" w:rsidRDefault="0032396A" w:rsidP="0032396A">
            <w:pPr>
              <w:numPr>
                <w:ilvl w:val="0"/>
                <w:numId w:val="15"/>
              </w:numPr>
              <w:cnfStyle w:val="000000100000" w:firstRow="0" w:lastRow="0" w:firstColumn="0" w:lastColumn="0" w:oddVBand="0" w:evenVBand="0" w:oddHBand="1" w:evenHBand="0" w:firstRowFirstColumn="0" w:firstRowLastColumn="0" w:lastRowFirstColumn="0" w:lastRowLastColumn="0"/>
            </w:pPr>
            <w:r>
              <w:t>Introduce the purpose and objectives of the module.</w:t>
            </w:r>
            <w:r w:rsidR="00E809A0">
              <w:t xml:space="preserve"> Ask participants to complete the PRE section of the pre-post and explain that these are the targets for the day.</w:t>
            </w:r>
          </w:p>
          <w:p w:rsidR="0032396A" w:rsidRDefault="0032396A" w:rsidP="0032396A">
            <w:pPr>
              <w:ind w:left="360"/>
              <w:cnfStyle w:val="000000100000" w:firstRow="0" w:lastRow="0" w:firstColumn="0" w:lastColumn="0" w:oddVBand="0" w:evenVBand="0" w:oddHBand="1" w:evenHBand="0" w:firstRowFirstColumn="0" w:firstRowLastColumn="0" w:lastRowFirstColumn="0" w:lastRowLastColumn="0"/>
            </w:pPr>
          </w:p>
          <w:p w:rsidR="00D63972" w:rsidRPr="00D63972" w:rsidRDefault="00D63972" w:rsidP="00E820EE">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D63972" w:rsidRDefault="00D63972" w:rsidP="00E809A0">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t xml:space="preserve">Slides </w:t>
            </w:r>
            <w:r w:rsidR="00E809A0">
              <w:rPr>
                <w:rFonts w:cstheme="minorHAnsi"/>
              </w:rPr>
              <w:t>1-3</w:t>
            </w:r>
          </w:p>
          <w:p w:rsidR="00E809A0" w:rsidRPr="00D63972" w:rsidRDefault="00E809A0" w:rsidP="00E809A0">
            <w:pPr>
              <w:cnfStyle w:val="000000100000" w:firstRow="0" w:lastRow="0" w:firstColumn="0" w:lastColumn="0" w:oddVBand="0" w:evenVBand="0" w:oddHBand="1" w:evenHBand="0" w:firstRowFirstColumn="0" w:firstRowLastColumn="0" w:lastRowFirstColumn="0" w:lastRowLastColumn="0"/>
              <w:rPr>
                <w:rFonts w:cstheme="minorHAnsi"/>
              </w:rPr>
            </w:pPr>
            <w:r w:rsidRPr="00E809A0">
              <w:rPr>
                <w:rFonts w:cstheme="minorHAnsi"/>
                <w:b/>
              </w:rPr>
              <w:t>Pre-post paper copy</w:t>
            </w:r>
            <w:r>
              <w:rPr>
                <w:rFonts w:cstheme="minorHAnsi"/>
              </w:rPr>
              <w:t xml:space="preserve"> for Mod. 2 1 per participant</w:t>
            </w:r>
          </w:p>
        </w:tc>
        <w:tc>
          <w:tcPr>
            <w:tcW w:w="135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rPr>
            </w:pPr>
            <w:r w:rsidRPr="00D63972">
              <w:rPr>
                <w:rFonts w:cstheme="minorHAnsi"/>
              </w:rPr>
              <w:t>10 Minutes</w:t>
            </w:r>
          </w:p>
        </w:tc>
        <w:tc>
          <w:tcPr>
            <w:tcW w:w="2178" w:type="dxa"/>
            <w:tcBorders>
              <w:left w:val="single" w:sz="8" w:space="0" w:color="7BA0CD" w:themeColor="accent1" w:themeTint="BF"/>
            </w:tcBorders>
            <w:shd w:val="clear" w:color="auto" w:fill="FFFFFF" w:themeFill="background1"/>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63972" w:rsidRPr="00D63972" w:rsidTr="00D66F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shd w:val="clear" w:color="auto" w:fill="DBE5F1" w:themeFill="accent1" w:themeFillTint="33"/>
            <w:vAlign w:val="center"/>
          </w:tcPr>
          <w:p w:rsidR="00D63972" w:rsidRPr="00D63972" w:rsidRDefault="00D63972" w:rsidP="00535FA8">
            <w:pPr>
              <w:rPr>
                <w:rFonts w:cstheme="minorHAnsi"/>
              </w:rPr>
            </w:pPr>
          </w:p>
        </w:tc>
        <w:tc>
          <w:tcPr>
            <w:tcW w:w="6480" w:type="dxa"/>
            <w:tcBorders>
              <w:left w:val="single" w:sz="8" w:space="0" w:color="7BA0CD" w:themeColor="accent1" w:themeTint="BF"/>
              <w:right w:val="single" w:sz="8" w:space="0" w:color="7BA0CD" w:themeColor="accent1" w:themeTint="BF"/>
            </w:tcBorders>
            <w:shd w:val="clear" w:color="auto" w:fill="DBE5F1" w:themeFill="accent1" w:themeFillTint="33"/>
            <w:vAlign w:val="center"/>
          </w:tcPr>
          <w:p w:rsidR="00E820EE" w:rsidRDefault="00E820EE" w:rsidP="00E820EE">
            <w:pPr>
              <w:numPr>
                <w:ilvl w:val="0"/>
                <w:numId w:val="15"/>
              </w:numPr>
              <w:cnfStyle w:val="000000010000" w:firstRow="0" w:lastRow="0" w:firstColumn="0" w:lastColumn="0" w:oddVBand="0" w:evenVBand="0" w:oddHBand="0" w:evenHBand="1" w:firstRowFirstColumn="0" w:firstRowLastColumn="0" w:lastRowFirstColumn="0" w:lastRowLastColumn="0"/>
            </w:pPr>
            <w:r w:rsidRPr="00E820EE">
              <w:t>Through experience with a number of evaluation committees possible steps have been identified when moving through the work of the joint committee.</w:t>
            </w:r>
          </w:p>
          <w:p w:rsidR="00E17847" w:rsidRPr="00E820EE" w:rsidRDefault="00E17847" w:rsidP="00E17847">
            <w:pPr>
              <w:ind w:left="360"/>
              <w:cnfStyle w:val="000000010000" w:firstRow="0" w:lastRow="0" w:firstColumn="0" w:lastColumn="0" w:oddVBand="0" w:evenVBand="0" w:oddHBand="0" w:evenHBand="1" w:firstRowFirstColumn="0" w:firstRowLastColumn="0" w:lastRowFirstColumn="0" w:lastRowLastColumn="0"/>
            </w:pPr>
          </w:p>
          <w:p w:rsidR="00E820EE" w:rsidRDefault="00E820EE" w:rsidP="00E820EE">
            <w:pPr>
              <w:numPr>
                <w:ilvl w:val="0"/>
                <w:numId w:val="15"/>
              </w:numPr>
              <w:cnfStyle w:val="000000010000" w:firstRow="0" w:lastRow="0" w:firstColumn="0" w:lastColumn="0" w:oddVBand="0" w:evenVBand="0" w:oddHBand="0" w:evenHBand="1" w:firstRowFirstColumn="0" w:firstRowLastColumn="0" w:lastRowFirstColumn="0" w:lastRowLastColumn="0"/>
            </w:pPr>
            <w:r w:rsidRPr="00E820EE">
              <w:t>There is not an identified process for Joint Committees to follow. Each joint committee will determine a process that fits the uniqueness of their school or district. These steps are offered for conversation of possibilities to help in leading</w:t>
            </w:r>
            <w:r w:rsidR="00E17847">
              <w:t xml:space="preserve"> joint committee work.</w:t>
            </w:r>
          </w:p>
          <w:p w:rsidR="00E17847" w:rsidRDefault="00E17847" w:rsidP="00E17847">
            <w:pPr>
              <w:pStyle w:val="ListParagraph"/>
              <w:cnfStyle w:val="000000010000" w:firstRow="0" w:lastRow="0" w:firstColumn="0" w:lastColumn="0" w:oddVBand="0" w:evenVBand="0" w:oddHBand="0" w:evenHBand="1" w:firstRowFirstColumn="0" w:firstRowLastColumn="0" w:lastRowFirstColumn="0" w:lastRowLastColumn="0"/>
            </w:pPr>
          </w:p>
          <w:p w:rsidR="00E17847" w:rsidRDefault="00E17847" w:rsidP="00E820EE">
            <w:pPr>
              <w:numPr>
                <w:ilvl w:val="0"/>
                <w:numId w:val="15"/>
              </w:numPr>
              <w:cnfStyle w:val="000000010000" w:firstRow="0" w:lastRow="0" w:firstColumn="0" w:lastColumn="0" w:oddVBand="0" w:evenVBand="0" w:oddHBand="0" w:evenHBand="1" w:firstRowFirstColumn="0" w:firstRowLastColumn="0" w:lastRowFirstColumn="0" w:lastRowLastColumn="0"/>
            </w:pPr>
            <w:r>
              <w:t>Steps:</w:t>
            </w:r>
          </w:p>
          <w:p w:rsidR="00E17847" w:rsidRDefault="00E17847" w:rsidP="00E17847">
            <w:pPr>
              <w:pStyle w:val="ListParagraph"/>
              <w:cnfStyle w:val="000000010000" w:firstRow="0" w:lastRow="0" w:firstColumn="0" w:lastColumn="0" w:oddVBand="0" w:evenVBand="0" w:oddHBand="0" w:evenHBand="1" w:firstRowFirstColumn="0" w:firstRowLastColumn="0" w:lastRowFirstColumn="0" w:lastRowLastColumn="0"/>
            </w:pPr>
            <w:r>
              <w:t>Read Part 50 Rules</w:t>
            </w:r>
          </w:p>
          <w:p w:rsidR="00E17847" w:rsidRDefault="00E17847" w:rsidP="00E17847">
            <w:pPr>
              <w:pStyle w:val="ListParagraph"/>
              <w:cnfStyle w:val="000000010000" w:firstRow="0" w:lastRow="0" w:firstColumn="0" w:lastColumn="0" w:oddVBand="0" w:evenVBand="0" w:oddHBand="0" w:evenHBand="1" w:firstRowFirstColumn="0" w:firstRowLastColumn="0" w:lastRowFirstColumn="0" w:lastRowLastColumn="0"/>
            </w:pPr>
            <w:r>
              <w:t>Backwards Map</w:t>
            </w:r>
          </w:p>
          <w:p w:rsidR="00E17847" w:rsidRDefault="00E17847" w:rsidP="00E17847">
            <w:pPr>
              <w:pStyle w:val="ListParagraph"/>
              <w:cnfStyle w:val="000000010000" w:firstRow="0" w:lastRow="0" w:firstColumn="0" w:lastColumn="0" w:oddVBand="0" w:evenVBand="0" w:oddHBand="0" w:evenHBand="1" w:firstRowFirstColumn="0" w:firstRowLastColumn="0" w:lastRowFirstColumn="0" w:lastRowLastColumn="0"/>
            </w:pPr>
            <w:r>
              <w:t>Identify Questions</w:t>
            </w:r>
          </w:p>
          <w:p w:rsidR="00E17847" w:rsidRDefault="00E17847" w:rsidP="00E17847">
            <w:pPr>
              <w:pStyle w:val="ListParagraph"/>
              <w:cnfStyle w:val="000000010000" w:firstRow="0" w:lastRow="0" w:firstColumn="0" w:lastColumn="0" w:oddVBand="0" w:evenVBand="0" w:oddHBand="0" w:evenHBand="1" w:firstRowFirstColumn="0" w:firstRowLastColumn="0" w:lastRowFirstColumn="0" w:lastRowLastColumn="0"/>
            </w:pPr>
            <w:r>
              <w:t>Assessment Inventory</w:t>
            </w:r>
          </w:p>
          <w:p w:rsidR="00E17847" w:rsidRDefault="00E17847" w:rsidP="00E17847">
            <w:pPr>
              <w:pStyle w:val="ListParagraph"/>
              <w:cnfStyle w:val="000000010000" w:firstRow="0" w:lastRow="0" w:firstColumn="0" w:lastColumn="0" w:oddVBand="0" w:evenVBand="0" w:oddHBand="0" w:evenHBand="1" w:firstRowFirstColumn="0" w:firstRowLastColumn="0" w:lastRowFirstColumn="0" w:lastRowLastColumn="0"/>
            </w:pPr>
            <w:r>
              <w:t>Identify essential skills embedded in the standards for the subject area or grade level</w:t>
            </w:r>
          </w:p>
          <w:p w:rsidR="00E17847" w:rsidRDefault="00E17847" w:rsidP="00E17847">
            <w:pPr>
              <w:pStyle w:val="ListParagraph"/>
              <w:cnfStyle w:val="000000010000" w:firstRow="0" w:lastRow="0" w:firstColumn="0" w:lastColumn="0" w:oddVBand="0" w:evenVBand="0" w:oddHBand="0" w:evenHBand="1" w:firstRowFirstColumn="0" w:firstRowLastColumn="0" w:lastRowFirstColumn="0" w:lastRowLastColumn="0"/>
            </w:pPr>
            <w:r>
              <w:t>Identify, adapt or create assessments</w:t>
            </w:r>
          </w:p>
          <w:p w:rsidR="00535FA8" w:rsidRDefault="00E17847" w:rsidP="00E17847">
            <w:pPr>
              <w:pStyle w:val="ListParagraph"/>
              <w:cnfStyle w:val="000000010000" w:firstRow="0" w:lastRow="0" w:firstColumn="0" w:lastColumn="0" w:oddVBand="0" w:evenVBand="0" w:oddHBand="0" w:evenHBand="1" w:firstRowFirstColumn="0" w:firstRowLastColumn="0" w:lastRowFirstColumn="0" w:lastRowLastColumn="0"/>
            </w:pPr>
            <w:r>
              <w:t>pilot</w:t>
            </w:r>
          </w:p>
          <w:p w:rsidR="00535FA8" w:rsidRDefault="00535FA8" w:rsidP="00535FA8">
            <w:pPr>
              <w:ind w:left="360"/>
              <w:cnfStyle w:val="000000010000" w:firstRow="0" w:lastRow="0" w:firstColumn="0" w:lastColumn="0" w:oddVBand="0" w:evenVBand="0" w:oddHBand="0" w:evenHBand="1" w:firstRowFirstColumn="0" w:firstRowLastColumn="0" w:lastRowFirstColumn="0" w:lastRowLastColumn="0"/>
            </w:pPr>
            <w:r>
              <w:t xml:space="preserve">Note that the joint committee should review Section 50.110 Student Growth Components of the </w:t>
            </w:r>
            <w:r w:rsidRPr="00B54EB1">
              <w:t xml:space="preserve">Illinois Administrative Code </w:t>
            </w:r>
            <w:r w:rsidRPr="00B54EB1">
              <w:lastRenderedPageBreak/>
              <w:t>Part 50</w:t>
            </w:r>
            <w:r>
              <w:t xml:space="preserve"> at the first convening. This is an important first step to ensure that all committee members are fully informed.</w:t>
            </w:r>
          </w:p>
          <w:p w:rsidR="00535FA8" w:rsidRDefault="00535FA8" w:rsidP="00535FA8">
            <w:pPr>
              <w:ind w:left="360"/>
              <w:cnfStyle w:val="000000010000" w:firstRow="0" w:lastRow="0" w:firstColumn="0" w:lastColumn="0" w:oddVBand="0" w:evenVBand="0" w:oddHBand="0" w:evenHBand="1" w:firstRowFirstColumn="0" w:firstRowLastColumn="0" w:lastRowFirstColumn="0" w:lastRowLastColumn="0"/>
            </w:pPr>
            <w:r>
              <w:t>Communication</w:t>
            </w:r>
          </w:p>
          <w:p w:rsidR="00535FA8" w:rsidRDefault="00535FA8" w:rsidP="00535FA8">
            <w:pPr>
              <w:ind w:left="360"/>
              <w:cnfStyle w:val="000000010000" w:firstRow="0" w:lastRow="0" w:firstColumn="0" w:lastColumn="0" w:oddVBand="0" w:evenVBand="0" w:oddHBand="0" w:evenHBand="1" w:firstRowFirstColumn="0" w:firstRowLastColumn="0" w:lastRowFirstColumn="0" w:lastRowLastColumn="0"/>
            </w:pPr>
          </w:p>
          <w:p w:rsid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rsidRPr="00195A81">
              <w:t>First we need to identify the work that needs to be done through a backwards map.</w:t>
            </w:r>
          </w:p>
          <w:p w:rsidR="00195A81" w:rsidRPr="00195A81" w:rsidRDefault="00195A81" w:rsidP="00195A81">
            <w:pPr>
              <w:ind w:left="720"/>
              <w:cnfStyle w:val="000000010000" w:firstRow="0" w:lastRow="0" w:firstColumn="0" w:lastColumn="0" w:oddVBand="0" w:evenVBand="0" w:oddHBand="0" w:evenHBand="1" w:firstRowFirstColumn="0" w:firstRowLastColumn="0" w:lastRowFirstColumn="0" w:lastRowLastColumn="0"/>
            </w:pPr>
          </w:p>
          <w:p w:rsidR="00195A81" w:rsidRP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rsidRPr="00195A81">
              <w:t>What is our implementation date and how do we work backwards from there to determine the timeline for our work.</w:t>
            </w:r>
          </w:p>
          <w:p w:rsidR="00535FA8" w:rsidRDefault="00535FA8" w:rsidP="00195A81">
            <w:pPr>
              <w:cnfStyle w:val="000000010000" w:firstRow="0" w:lastRow="0" w:firstColumn="0" w:lastColumn="0" w:oddVBand="0" w:evenVBand="0" w:oddHBand="0" w:evenHBand="1" w:firstRowFirstColumn="0" w:firstRowLastColumn="0" w:lastRowFirstColumn="0" w:lastRowLastColumn="0"/>
            </w:pPr>
          </w:p>
          <w:p w:rsidR="00195A81" w:rsidRP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rsidRPr="00195A81">
              <w:t>The district needs to determine if they will first begin meeting with an informal evaluation committee before they begin the work of the formal joint committee. (reminder: once the joint committee meets formally they have 180 days to make decisions about student growth in the teacher evaluation system)</w:t>
            </w:r>
          </w:p>
          <w:p w:rsidR="00195A81" w:rsidRP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rsidRPr="00195A81">
              <w:t xml:space="preserve">The informal and formal joint committee can be the same members. </w:t>
            </w:r>
          </w:p>
          <w:p w:rsidR="00195A81" w:rsidRP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t>Steps for backwards mapping...</w:t>
            </w:r>
          </w:p>
          <w:p w:rsidR="00195A81" w:rsidRP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rsidRPr="00195A81">
              <w:t>What do we need to have in place for full implementation? (2016-17 for most)</w:t>
            </w:r>
          </w:p>
          <w:p w:rsidR="00195A81" w:rsidRP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rsidRPr="00195A81">
              <w:t>What do we currently have in place?</w:t>
            </w:r>
          </w:p>
          <w:p w:rsidR="00195A81" w:rsidRP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rsidRPr="00195A81">
              <w:t>What can we get done each year to make sure we are ready for full implementation?</w:t>
            </w:r>
          </w:p>
          <w:p w:rsidR="00195A81" w:rsidRDefault="00195A81" w:rsidP="00195A81">
            <w:pPr>
              <w:numPr>
                <w:ilvl w:val="0"/>
                <w:numId w:val="16"/>
              </w:numPr>
              <w:cnfStyle w:val="000000010000" w:firstRow="0" w:lastRow="0" w:firstColumn="0" w:lastColumn="0" w:oddVBand="0" w:evenVBand="0" w:oddHBand="0" w:evenHBand="1" w:firstRowFirstColumn="0" w:firstRowLastColumn="0" w:lastRowFirstColumn="0" w:lastRowLastColumn="0"/>
            </w:pPr>
            <w:r w:rsidRPr="00195A81">
              <w:t>Who will be responsible for completing each item?</w:t>
            </w:r>
          </w:p>
          <w:p w:rsidR="00195A81" w:rsidRDefault="00195A81" w:rsidP="00195A81">
            <w:pPr>
              <w:cnfStyle w:val="000000010000" w:firstRow="0" w:lastRow="0" w:firstColumn="0" w:lastColumn="0" w:oddVBand="0" w:evenVBand="0" w:oddHBand="0" w:evenHBand="1" w:firstRowFirstColumn="0" w:firstRowLastColumn="0" w:lastRowFirstColumn="0" w:lastRowLastColumn="0"/>
            </w:pPr>
          </w:p>
          <w:p w:rsidR="00195A81" w:rsidRDefault="00195A81" w:rsidP="00195A81">
            <w:pPr>
              <w:cnfStyle w:val="000000010000" w:firstRow="0" w:lastRow="0" w:firstColumn="0" w:lastColumn="0" w:oddVBand="0" w:evenVBand="0" w:oddHBand="0" w:evenHBand="1" w:firstRowFirstColumn="0" w:firstRowLastColumn="0" w:lastRowFirstColumn="0" w:lastRowLastColumn="0"/>
            </w:pPr>
            <w:r>
              <w:t>Identifying Questions:</w:t>
            </w:r>
          </w:p>
          <w:p w:rsidR="00195A81" w:rsidRPr="00195A81" w:rsidRDefault="00195A81" w:rsidP="00195A81">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rsidRPr="00195A81">
              <w:t xml:space="preserve">Joint Committees have a lot of work to be done. In order to organize the work one step they may choose to take is to </w:t>
            </w:r>
            <w:r w:rsidRPr="00195A81">
              <w:lastRenderedPageBreak/>
              <w:t>identify questions that will need answers that are to be determined by the joint committee.</w:t>
            </w:r>
          </w:p>
          <w:p w:rsidR="00195A81" w:rsidRPr="00195A81" w:rsidRDefault="00195A81" w:rsidP="00195A81">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rsidRPr="00195A81">
              <w:t>First, as the team read though part 50 they can determine many questions they will need to address.</w:t>
            </w:r>
          </w:p>
          <w:p w:rsidR="00195A81" w:rsidRPr="00195A81" w:rsidRDefault="00195A81" w:rsidP="00195A81">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rsidRPr="00195A81">
              <w:t xml:space="preserve"> What percentage of the </w:t>
            </w:r>
            <w:r w:rsidR="00F245E1" w:rsidRPr="00195A81">
              <w:t>overall</w:t>
            </w:r>
            <w:r w:rsidRPr="00195A81">
              <w:t xml:space="preserve"> evaluation will be student growth? What assessments will be used by each category of teacher? How will special populations be considered? Etc…</w:t>
            </w:r>
          </w:p>
          <w:p w:rsidR="00195A81" w:rsidRPr="00195A81" w:rsidRDefault="00195A81" w:rsidP="00195A81">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rsidRPr="00195A81">
              <w:t xml:space="preserve">The committee may also want to solicit questions from the teachers. When doing this. We have found that questions from teachers can be sorted into categories – questions with answers from part 50, questions with answers determined by the joint committee, and questions that will have to be decided by the individual teacher. </w:t>
            </w:r>
          </w:p>
          <w:p w:rsidR="00195A81" w:rsidRPr="00195A81" w:rsidRDefault="00195A81" w:rsidP="00195A81">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rsidRPr="00195A81">
              <w:t xml:space="preserve">There are several decisions that need to be made by the Joint Committee.  </w:t>
            </w:r>
          </w:p>
          <w:p w:rsidR="00195A81" w:rsidRPr="00195A81" w:rsidRDefault="00195A81" w:rsidP="00195A81">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rsidRPr="00195A81">
              <w:t xml:space="preserve">We will walk through some guiding questions and then give you time to work as a committee on the questions you identify as your top priority during today’s session. </w:t>
            </w:r>
          </w:p>
          <w:p w:rsidR="00195A81" w:rsidRPr="00195A81" w:rsidRDefault="00195A81" w:rsidP="00195A81">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rsidRPr="00195A81">
              <w:t>Please note- This is being provided as guidance and is not all inclusive but intended to provide support.</w:t>
            </w:r>
          </w:p>
          <w:p w:rsidR="00535FA8" w:rsidRPr="00B106BB" w:rsidRDefault="00195A81" w:rsidP="00535FA8">
            <w:pPr>
              <w:pStyle w:val="ListParagraph"/>
              <w:numPr>
                <w:ilvl w:val="0"/>
                <w:numId w:val="27"/>
              </w:numPr>
              <w:cnfStyle w:val="000000010000" w:firstRow="0" w:lastRow="0" w:firstColumn="0" w:lastColumn="0" w:oddVBand="0" w:evenVBand="0" w:oddHBand="0" w:evenHBand="1" w:firstRowFirstColumn="0" w:firstRowLastColumn="0" w:lastRowFirstColumn="0" w:lastRowLastColumn="0"/>
            </w:pPr>
            <w:r w:rsidRPr="00195A81">
              <w:t xml:space="preserve">The expectation is not that we will answer every question today but instead should be integrated into the timeline to assist in the backwards mapping process. </w:t>
            </w:r>
          </w:p>
          <w:p w:rsidR="00535FA8" w:rsidRDefault="00B106BB" w:rsidP="00535FA8">
            <w:pPr>
              <w:ind w:left="1080"/>
              <w:cnfStyle w:val="000000010000" w:firstRow="0" w:lastRow="0" w:firstColumn="0" w:lastColumn="0" w:oddVBand="0" w:evenVBand="0" w:oddHBand="0" w:evenHBand="1" w:firstRowFirstColumn="0" w:firstRowLastColumn="0" w:lastRowFirstColumn="0" w:lastRowLastColumn="0"/>
            </w:pPr>
            <w:r>
              <w:t>Guidance Documents: Activities</w:t>
            </w:r>
          </w:p>
          <w:p w:rsidR="00F245E1" w:rsidRDefault="00F245E1" w:rsidP="00F245E1">
            <w:pPr>
              <w:cnfStyle w:val="000000010000" w:firstRow="0" w:lastRow="0" w:firstColumn="0" w:lastColumn="0" w:oddVBand="0" w:evenVBand="0" w:oddHBand="0" w:evenHBand="1" w:firstRowFirstColumn="0" w:firstRowLastColumn="0" w:lastRowFirstColumn="0" w:lastRowLastColumn="0"/>
            </w:pPr>
            <w:r>
              <w:t>Use the following symbols to review the two guidance documents and discuss how your local committees may use these documents</w:t>
            </w:r>
          </w:p>
          <w:p w:rsidR="00535FA8" w:rsidRDefault="00535FA8" w:rsidP="00535FA8">
            <w:pPr>
              <w:ind w:left="1800"/>
              <w:cnfStyle w:val="000000010000" w:firstRow="0" w:lastRow="0" w:firstColumn="0" w:lastColumn="0" w:oddVBand="0" w:evenVBand="0" w:oddHBand="0" w:evenHBand="1" w:firstRowFirstColumn="0" w:firstRowLastColumn="0" w:lastRowFirstColumn="0" w:lastRowLastColumn="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370"/>
            </w:tblGrid>
            <w:tr w:rsidR="00F245E1" w:rsidTr="00EE7320">
              <w:tc>
                <w:tcPr>
                  <w:tcW w:w="846" w:type="dxa"/>
                </w:tcPr>
                <w:p w:rsidR="00F245E1" w:rsidRDefault="00F245E1" w:rsidP="00EE7320">
                  <w:pPr>
                    <w:jc w:val="center"/>
                    <w:rPr>
                      <w:rFonts w:asciiTheme="minorHAnsi" w:hAnsiTheme="minorHAnsi"/>
                      <w:sz w:val="22"/>
                      <w:szCs w:val="22"/>
                    </w:rPr>
                  </w:pPr>
                  <w:r>
                    <w:rPr>
                      <w:noProof/>
                    </w:rPr>
                    <w:lastRenderedPageBreak/>
                    <w:drawing>
                      <wp:inline distT="0" distB="0" distL="0" distR="0" wp14:anchorId="064C53C8" wp14:editId="3936C57F">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42900" cy="342900"/>
                                </a:xfrm>
                                <a:prstGeom prst="rect">
                                  <a:avLst/>
                                </a:prstGeom>
                              </pic:spPr>
                            </pic:pic>
                          </a:graphicData>
                        </a:graphic>
                      </wp:inline>
                    </w:drawing>
                  </w:r>
                </w:p>
              </w:tc>
              <w:tc>
                <w:tcPr>
                  <w:tcW w:w="8370" w:type="dxa"/>
                </w:tcPr>
                <w:p w:rsidR="00F245E1" w:rsidRDefault="00F245E1" w:rsidP="00EE7320">
                  <w:pPr>
                    <w:spacing w:before="120"/>
                    <w:rPr>
                      <w:rFonts w:asciiTheme="minorHAnsi" w:hAnsiTheme="minorHAnsi"/>
                      <w:sz w:val="22"/>
                      <w:szCs w:val="22"/>
                    </w:rPr>
                  </w:pPr>
                  <w:r>
                    <w:rPr>
                      <w:rFonts w:asciiTheme="minorHAnsi" w:hAnsiTheme="minorHAnsi"/>
                      <w:sz w:val="22"/>
                      <w:szCs w:val="22"/>
                    </w:rPr>
                    <w:t>Affirms my prior understanding</w:t>
                  </w:r>
                </w:p>
              </w:tc>
            </w:tr>
            <w:tr w:rsidR="00F245E1" w:rsidTr="00EE7320">
              <w:tc>
                <w:tcPr>
                  <w:tcW w:w="846" w:type="dxa"/>
                </w:tcPr>
                <w:p w:rsidR="00F245E1" w:rsidRDefault="00F245E1" w:rsidP="00EE7320">
                  <w:pPr>
                    <w:jc w:val="center"/>
                    <w:rPr>
                      <w:rFonts w:asciiTheme="minorHAnsi" w:hAnsiTheme="minorHAnsi"/>
                      <w:sz w:val="22"/>
                      <w:szCs w:val="22"/>
                    </w:rPr>
                  </w:pPr>
                  <w:r>
                    <w:rPr>
                      <w:noProof/>
                    </w:rPr>
                    <w:drawing>
                      <wp:inline distT="0" distB="0" distL="0" distR="0" wp14:anchorId="05436891" wp14:editId="060F2479">
                        <wp:extent cx="391758" cy="3619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91758" cy="361950"/>
                                </a:xfrm>
                                <a:prstGeom prst="rect">
                                  <a:avLst/>
                                </a:prstGeom>
                              </pic:spPr>
                            </pic:pic>
                          </a:graphicData>
                        </a:graphic>
                      </wp:inline>
                    </w:drawing>
                  </w:r>
                </w:p>
              </w:tc>
              <w:tc>
                <w:tcPr>
                  <w:tcW w:w="8370" w:type="dxa"/>
                </w:tcPr>
                <w:p w:rsidR="00F245E1" w:rsidRDefault="00F245E1" w:rsidP="00EE7320">
                  <w:pPr>
                    <w:spacing w:before="120"/>
                    <w:rPr>
                      <w:rFonts w:asciiTheme="minorHAnsi" w:hAnsiTheme="minorHAnsi"/>
                      <w:sz w:val="22"/>
                      <w:szCs w:val="22"/>
                    </w:rPr>
                  </w:pPr>
                  <w:r>
                    <w:rPr>
                      <w:rFonts w:asciiTheme="minorHAnsi" w:hAnsiTheme="minorHAnsi"/>
                      <w:sz w:val="22"/>
                      <w:szCs w:val="22"/>
                    </w:rPr>
                    <w:t>Surprises me</w:t>
                  </w:r>
                </w:p>
              </w:tc>
            </w:tr>
            <w:tr w:rsidR="00F245E1" w:rsidTr="00EE7320">
              <w:tc>
                <w:tcPr>
                  <w:tcW w:w="846" w:type="dxa"/>
                </w:tcPr>
                <w:p w:rsidR="00F245E1" w:rsidRDefault="00F245E1" w:rsidP="00EE7320">
                  <w:pPr>
                    <w:jc w:val="center"/>
                    <w:rPr>
                      <w:rFonts w:asciiTheme="minorHAnsi" w:hAnsiTheme="minorHAnsi"/>
                      <w:sz w:val="22"/>
                      <w:szCs w:val="22"/>
                    </w:rPr>
                  </w:pPr>
                  <w:r>
                    <w:rPr>
                      <w:noProof/>
                    </w:rPr>
                    <w:drawing>
                      <wp:inline distT="0" distB="0" distL="0" distR="0" wp14:anchorId="0DF6E65D" wp14:editId="53F03E4C">
                        <wp:extent cx="34290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42900" cy="314325"/>
                                </a:xfrm>
                                <a:prstGeom prst="rect">
                                  <a:avLst/>
                                </a:prstGeom>
                              </pic:spPr>
                            </pic:pic>
                          </a:graphicData>
                        </a:graphic>
                      </wp:inline>
                    </w:drawing>
                  </w:r>
                </w:p>
              </w:tc>
              <w:tc>
                <w:tcPr>
                  <w:tcW w:w="8370" w:type="dxa"/>
                </w:tcPr>
                <w:p w:rsidR="00F245E1" w:rsidRDefault="00F245E1" w:rsidP="00EE7320">
                  <w:pPr>
                    <w:spacing w:before="120"/>
                    <w:rPr>
                      <w:rFonts w:asciiTheme="minorHAnsi" w:hAnsiTheme="minorHAnsi"/>
                      <w:sz w:val="22"/>
                      <w:szCs w:val="22"/>
                    </w:rPr>
                  </w:pPr>
                  <w:r>
                    <w:rPr>
                      <w:rFonts w:asciiTheme="minorHAnsi" w:hAnsiTheme="minorHAnsi"/>
                      <w:sz w:val="22"/>
                      <w:szCs w:val="22"/>
                    </w:rPr>
                    <w:t xml:space="preserve">Raises a question </w:t>
                  </w:r>
                </w:p>
              </w:tc>
            </w:tr>
          </w:tbl>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rPr>
                <w:b/>
              </w:rPr>
            </w:pPr>
            <w:r>
              <w:rPr>
                <w:b/>
              </w:rPr>
              <w:t xml:space="preserve">Additional options: </w:t>
            </w: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r w:rsidRPr="009510FD">
              <w:rPr>
                <w:b/>
              </w:rPr>
              <w:t>Small Group Direction:</w:t>
            </w:r>
            <w:r>
              <w:t xml:space="preserve"> Small groups may assign a different section to each person in the group to read and report out.</w:t>
            </w:r>
          </w:p>
          <w:p w:rsidR="00F245E1" w:rsidRDefault="00F245E1" w:rsidP="00F245E1">
            <w:pPr>
              <w:cnfStyle w:val="000000010000" w:firstRow="0" w:lastRow="0" w:firstColumn="0" w:lastColumn="0" w:oddVBand="0" w:evenVBand="0" w:oddHBand="0" w:evenHBand="1" w:firstRowFirstColumn="0" w:firstRowLastColumn="0" w:lastRowFirstColumn="0" w:lastRowLastColumn="0"/>
            </w:pP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r>
              <w:t>Ask small groups to discuss what in the document affirmed participants prior understanding, surprised them, and raised questions. Encourage groups to use the chart paper and other materials to organize their ideas. Each participant should share one item at a time with their small group, allowing all members of the group/team to participate equally in the time allotted.</w:t>
            </w:r>
          </w:p>
          <w:p w:rsidR="00F245E1" w:rsidRDefault="00F245E1" w:rsidP="00F245E1">
            <w:pPr>
              <w:cnfStyle w:val="000000010000" w:firstRow="0" w:lastRow="0" w:firstColumn="0" w:lastColumn="0" w:oddVBand="0" w:evenVBand="0" w:oddHBand="0" w:evenHBand="1" w:firstRowFirstColumn="0" w:firstRowLastColumn="0" w:lastRowFirstColumn="0" w:lastRowLastColumn="0"/>
            </w:pP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r>
              <w:t>Ask each individual or small group to share what affirmed their prior understanding, surprised them, and raised questions with the large group.</w:t>
            </w: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r w:rsidRPr="00CC0305">
              <w:t>Help connect group experiences by pointing out trends or common questions</w:t>
            </w:r>
            <w:r>
              <w:t xml:space="preserve"> using chart paper or a blank PowerPoint slide</w:t>
            </w:r>
            <w:r w:rsidRPr="00CC0305">
              <w:t>.</w:t>
            </w:r>
            <w:r>
              <w:t xml:space="preserve"> </w:t>
            </w: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r>
              <w:t xml:space="preserve">Note other supporting materials that may help to answer questions. </w:t>
            </w:r>
            <w:r w:rsidRPr="004716CC">
              <w:t>If there are questions that you are unsure of please contact the appropriate organization to ensure that correct information is shared.</w:t>
            </w:r>
          </w:p>
          <w:p w:rsidR="00F245E1" w:rsidRDefault="00F245E1" w:rsidP="00F245E1">
            <w:pPr>
              <w:ind w:left="360"/>
              <w:cnfStyle w:val="000000010000" w:firstRow="0" w:lastRow="0" w:firstColumn="0" w:lastColumn="0" w:oddVBand="0" w:evenVBand="0" w:oddHBand="0" w:evenHBand="1" w:firstRowFirstColumn="0" w:firstRowLastColumn="0" w:lastRowFirstColumn="0" w:lastRowLastColumn="0"/>
            </w:pPr>
          </w:p>
          <w:p w:rsidR="00535FA8" w:rsidRDefault="00535FA8" w:rsidP="00F245E1">
            <w:pPr>
              <w:ind w:left="360"/>
              <w:cnfStyle w:val="000000010000" w:firstRow="0" w:lastRow="0" w:firstColumn="0" w:lastColumn="0" w:oddVBand="0" w:evenVBand="0" w:oddHBand="0" w:evenHBand="1" w:firstRowFirstColumn="0" w:firstRowLastColumn="0" w:lastRowFirstColumn="0" w:lastRowLastColumn="0"/>
            </w:pPr>
            <w:r w:rsidRPr="005D7937">
              <w:lastRenderedPageBreak/>
              <w:t xml:space="preserve">Ask participants to reflect individually or in a small group on the questions included in the Guidance on District Decision Making. </w:t>
            </w:r>
            <w:r>
              <w:t>Ask the following questions to guide reflection:</w:t>
            </w:r>
          </w:p>
          <w:p w:rsidR="00535FA8" w:rsidRDefault="00535FA8" w:rsidP="00535FA8">
            <w:pPr>
              <w:ind w:left="360"/>
              <w:cnfStyle w:val="000000010000" w:firstRow="0" w:lastRow="0" w:firstColumn="0" w:lastColumn="0" w:oddVBand="0" w:evenVBand="0" w:oddHBand="0" w:evenHBand="1" w:firstRowFirstColumn="0" w:firstRowLastColumn="0" w:lastRowFirstColumn="0" w:lastRowLastColumn="0"/>
            </w:pPr>
          </w:p>
          <w:p w:rsidR="00535FA8" w:rsidRDefault="00535FA8" w:rsidP="00535FA8">
            <w:pPr>
              <w:numPr>
                <w:ilvl w:val="0"/>
                <w:numId w:val="20"/>
              </w:numPr>
              <w:cnfStyle w:val="000000010000" w:firstRow="0" w:lastRow="0" w:firstColumn="0" w:lastColumn="0" w:oddVBand="0" w:evenVBand="0" w:oddHBand="0" w:evenHBand="1" w:firstRowFirstColumn="0" w:firstRowLastColumn="0" w:lastRowFirstColumn="0" w:lastRowLastColumn="0"/>
            </w:pPr>
            <w:r>
              <w:t>Do any of these questions require clarification?</w:t>
            </w:r>
          </w:p>
          <w:p w:rsidR="00535FA8" w:rsidRDefault="00535FA8" w:rsidP="00535FA8">
            <w:pPr>
              <w:numPr>
                <w:ilvl w:val="0"/>
                <w:numId w:val="20"/>
              </w:numPr>
              <w:cnfStyle w:val="000000010000" w:firstRow="0" w:lastRow="0" w:firstColumn="0" w:lastColumn="0" w:oddVBand="0" w:evenVBand="0" w:oddHBand="0" w:evenHBand="1" w:firstRowFirstColumn="0" w:firstRowLastColumn="0" w:lastRowFirstColumn="0" w:lastRowLastColumn="0"/>
            </w:pPr>
            <w:r>
              <w:t>If you have convened your joint committee, have you discussed any of these questions?</w:t>
            </w:r>
          </w:p>
          <w:p w:rsidR="00535FA8" w:rsidRDefault="00535FA8" w:rsidP="00535FA8">
            <w:pPr>
              <w:numPr>
                <w:ilvl w:val="1"/>
                <w:numId w:val="20"/>
              </w:numPr>
              <w:cnfStyle w:val="000000010000" w:firstRow="0" w:lastRow="0" w:firstColumn="0" w:lastColumn="0" w:oddVBand="0" w:evenVBand="0" w:oddHBand="0" w:evenHBand="1" w:firstRowFirstColumn="0" w:firstRowLastColumn="0" w:lastRowFirstColumn="0" w:lastRowLastColumn="0"/>
            </w:pPr>
            <w:r>
              <w:t>If so, what conclusions have you come to?</w:t>
            </w:r>
          </w:p>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p>
        </w:tc>
        <w:tc>
          <w:tcPr>
            <w:tcW w:w="1440" w:type="dxa"/>
            <w:tcBorders>
              <w:left w:val="single" w:sz="8" w:space="0" w:color="7BA0CD" w:themeColor="accent1" w:themeTint="BF"/>
              <w:right w:val="single" w:sz="8" w:space="0" w:color="7BA0CD" w:themeColor="accent1" w:themeTint="BF"/>
            </w:tcBorders>
            <w:shd w:val="clear" w:color="auto" w:fill="DBE5F1" w:themeFill="accent1" w:themeFillTint="33"/>
            <w:vAlign w:val="center"/>
          </w:tcPr>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809A0"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4</w:t>
            </w: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D63972" w:rsidRDefault="00535FA8"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Slides </w:t>
            </w:r>
            <w:r w:rsidR="00E809A0">
              <w:rPr>
                <w:rFonts w:cstheme="minorHAnsi"/>
              </w:rPr>
              <w:t>5-8</w:t>
            </w:r>
          </w:p>
          <w:p w:rsidR="00535FA8" w:rsidRDefault="00535FA8"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B106BB"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17847" w:rsidRDefault="00E17847"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B106BB" w:rsidRDefault="00E809A0"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Slides 9-21</w:t>
            </w: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809A0" w:rsidRDefault="00E809A0"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Slides 22-23</w:t>
            </w: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EA1615" w:rsidRPr="00D63972" w:rsidRDefault="00EA1615" w:rsidP="00535FA8">
            <w:pPr>
              <w:cnfStyle w:val="000000010000" w:firstRow="0" w:lastRow="0" w:firstColumn="0" w:lastColumn="0" w:oddVBand="0" w:evenVBand="0" w:oddHBand="0" w:evenHBand="1"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shd w:val="clear" w:color="auto" w:fill="DBE5F1" w:themeFill="accent1" w:themeFillTint="33"/>
            <w:vAlign w:val="center"/>
          </w:tcPr>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195A81"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p>
          <w:p w:rsidR="00D63972" w:rsidRPr="00D63972" w:rsidRDefault="00195A81"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r w:rsidR="00535FA8">
              <w:rPr>
                <w:rFonts w:cstheme="minorHAnsi"/>
              </w:rPr>
              <w:t>0 Minutes</w:t>
            </w:r>
          </w:p>
        </w:tc>
        <w:tc>
          <w:tcPr>
            <w:tcW w:w="2178" w:type="dxa"/>
            <w:tcBorders>
              <w:left w:val="single" w:sz="8" w:space="0" w:color="7BA0CD" w:themeColor="accent1" w:themeTint="BF"/>
            </w:tcBorders>
            <w:shd w:val="clear" w:color="auto" w:fill="DBE5F1" w:themeFill="accent1" w:themeFillTint="33"/>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D63972" w:rsidRPr="00D63972" w:rsidTr="00D6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shd w:val="clear" w:color="auto" w:fill="FFFFFF" w:themeFill="background1"/>
            <w:vAlign w:val="center"/>
          </w:tcPr>
          <w:p w:rsidR="00D63972" w:rsidRPr="00D63972" w:rsidRDefault="00F245E1" w:rsidP="00535FA8">
            <w:pPr>
              <w:rPr>
                <w:rFonts w:cstheme="minorHAnsi"/>
              </w:rPr>
            </w:pPr>
            <w:r>
              <w:rPr>
                <w:rFonts w:cstheme="minorHAnsi"/>
              </w:rPr>
              <w:lastRenderedPageBreak/>
              <w:t>Communication</w:t>
            </w:r>
          </w:p>
        </w:tc>
        <w:tc>
          <w:tcPr>
            <w:tcW w:w="648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535FA8" w:rsidRPr="007E3459" w:rsidRDefault="00F245E1" w:rsidP="00535FA8">
            <w:pPr>
              <w:numPr>
                <w:ilvl w:val="0"/>
                <w:numId w:val="15"/>
              </w:numPr>
              <w:cnfStyle w:val="000000100000" w:firstRow="0" w:lastRow="0" w:firstColumn="0" w:lastColumn="0" w:oddVBand="0" w:evenVBand="0" w:oddHBand="1" w:evenHBand="0" w:firstRowFirstColumn="0" w:firstRowLastColumn="0" w:lastRowFirstColumn="0" w:lastRowLastColumn="0"/>
            </w:pPr>
            <w:r>
              <w:t>Discuss the importance of communication</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D63972" w:rsidRDefault="00535FA8"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Slide </w:t>
            </w:r>
            <w:r w:rsidR="00EA1615">
              <w:rPr>
                <w:rFonts w:cstheme="minorHAnsi"/>
              </w:rPr>
              <w:t>24-27</w:t>
            </w:r>
          </w:p>
          <w:p w:rsidR="00535FA8" w:rsidRPr="00D63972" w:rsidRDefault="00535FA8" w:rsidP="00535FA8">
            <w:pP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D63972" w:rsidRPr="00D63972" w:rsidRDefault="00F245E1"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 Minutes</w:t>
            </w:r>
          </w:p>
        </w:tc>
        <w:tc>
          <w:tcPr>
            <w:tcW w:w="2178" w:type="dxa"/>
            <w:tcBorders>
              <w:left w:val="single" w:sz="8" w:space="0" w:color="7BA0CD" w:themeColor="accent1" w:themeTint="BF"/>
            </w:tcBorders>
            <w:shd w:val="clear" w:color="auto" w:fill="FFFFFF" w:themeFill="background1"/>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63972" w:rsidRPr="00D63972" w:rsidTr="00D66F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shd w:val="clear" w:color="auto" w:fill="DBE5F1" w:themeFill="accent1" w:themeFillTint="33"/>
            <w:vAlign w:val="center"/>
          </w:tcPr>
          <w:p w:rsidR="00D63972" w:rsidRPr="00D63972" w:rsidRDefault="00535FA8" w:rsidP="00535FA8">
            <w:pPr>
              <w:rPr>
                <w:rFonts w:cstheme="minorHAnsi"/>
              </w:rPr>
            </w:pPr>
            <w:r w:rsidRPr="005D7937">
              <w:t xml:space="preserve">Implementing the Student Growth </w:t>
            </w:r>
          </w:p>
        </w:tc>
        <w:tc>
          <w:tcPr>
            <w:tcW w:w="6480" w:type="dxa"/>
            <w:tcBorders>
              <w:left w:val="single" w:sz="8" w:space="0" w:color="7BA0CD" w:themeColor="accent1" w:themeTint="BF"/>
              <w:right w:val="single" w:sz="8" w:space="0" w:color="7BA0CD" w:themeColor="accent1" w:themeTint="BF"/>
            </w:tcBorders>
            <w:shd w:val="clear" w:color="auto" w:fill="DBE5F1" w:themeFill="accent1" w:themeFillTint="33"/>
            <w:vAlign w:val="center"/>
          </w:tcPr>
          <w:p w:rsidR="00535FA8" w:rsidRDefault="00535FA8" w:rsidP="00535FA8">
            <w:pPr>
              <w:numPr>
                <w:ilvl w:val="0"/>
                <w:numId w:val="15"/>
              </w:numPr>
              <w:cnfStyle w:val="000000010000" w:firstRow="0" w:lastRow="0" w:firstColumn="0" w:lastColumn="0" w:oddVBand="0" w:evenVBand="0" w:oddHBand="0" w:evenHBand="1" w:firstRowFirstColumn="0" w:firstRowLastColumn="0" w:lastRowFirstColumn="0" w:lastRowLastColumn="0"/>
            </w:pPr>
            <w:r w:rsidRPr="005D7937">
              <w:t xml:space="preserve">Refer participants to the Implementing the Student Growth Component in Teacher and Principal Evaluation Systems </w:t>
            </w:r>
            <w:r>
              <w:t>document and summary handout.</w:t>
            </w:r>
          </w:p>
          <w:p w:rsidR="00535FA8" w:rsidRDefault="00535FA8" w:rsidP="00535FA8">
            <w:pPr>
              <w:ind w:left="360"/>
              <w:cnfStyle w:val="000000010000" w:firstRow="0" w:lastRow="0" w:firstColumn="0" w:lastColumn="0" w:oddVBand="0" w:evenVBand="0" w:oddHBand="0" w:evenHBand="1" w:firstRowFirstColumn="0" w:firstRowLastColumn="0" w:lastRowFirstColumn="0" w:lastRowLastColumn="0"/>
            </w:pPr>
          </w:p>
          <w:p w:rsidR="00535FA8" w:rsidRDefault="00535FA8" w:rsidP="00535FA8">
            <w:pPr>
              <w:numPr>
                <w:ilvl w:val="0"/>
                <w:numId w:val="15"/>
              </w:numPr>
              <w:cnfStyle w:val="000000010000" w:firstRow="0" w:lastRow="0" w:firstColumn="0" w:lastColumn="0" w:oddVBand="0" w:evenVBand="0" w:oddHBand="0" w:evenHBand="1" w:firstRowFirstColumn="0" w:firstRowLastColumn="0" w:lastRowFirstColumn="0" w:lastRowLastColumn="0"/>
            </w:pPr>
            <w:r>
              <w:t>Ask participants to turn to page 8 of the guidance document, and guide participants through Figure 2. Timeline for Student Growth Discussion and Decisions.</w:t>
            </w:r>
          </w:p>
          <w:p w:rsidR="00535FA8" w:rsidRDefault="00535FA8" w:rsidP="00535FA8">
            <w:pPr>
              <w:ind w:left="360"/>
              <w:cnfStyle w:val="000000010000" w:firstRow="0" w:lastRow="0" w:firstColumn="0" w:lastColumn="0" w:oddVBand="0" w:evenVBand="0" w:oddHBand="0" w:evenHBand="1" w:firstRowFirstColumn="0" w:firstRowLastColumn="0" w:lastRowFirstColumn="0" w:lastRowLastColumn="0"/>
            </w:pPr>
          </w:p>
          <w:p w:rsidR="00535FA8" w:rsidRDefault="00535FA8" w:rsidP="00535FA8">
            <w:pPr>
              <w:numPr>
                <w:ilvl w:val="0"/>
                <w:numId w:val="21"/>
              </w:numPr>
              <w:cnfStyle w:val="000000010000" w:firstRow="0" w:lastRow="0" w:firstColumn="0" w:lastColumn="0" w:oddVBand="0" w:evenVBand="0" w:oddHBand="0" w:evenHBand="1" w:firstRowFirstColumn="0" w:firstRowLastColumn="0" w:lastRowFirstColumn="0" w:lastRowLastColumn="0"/>
            </w:pPr>
            <w:r>
              <w:t xml:space="preserve">State that this guidance document provides specific support around each phase of the timeline and may be a useful resource. </w:t>
            </w:r>
          </w:p>
          <w:p w:rsidR="00535FA8" w:rsidRDefault="00535FA8" w:rsidP="00535FA8">
            <w:pPr>
              <w:ind w:left="720"/>
              <w:cnfStyle w:val="000000010000" w:firstRow="0" w:lastRow="0" w:firstColumn="0" w:lastColumn="0" w:oddVBand="0" w:evenVBand="0" w:oddHBand="0" w:evenHBand="1" w:firstRowFirstColumn="0" w:firstRowLastColumn="0" w:lastRowFirstColumn="0" w:lastRowLastColumn="0"/>
            </w:pPr>
          </w:p>
          <w:p w:rsidR="00535FA8" w:rsidRPr="005D7937" w:rsidRDefault="00535FA8" w:rsidP="00535FA8">
            <w:pPr>
              <w:numPr>
                <w:ilvl w:val="0"/>
                <w:numId w:val="21"/>
              </w:numPr>
              <w:cnfStyle w:val="000000010000" w:firstRow="0" w:lastRow="0" w:firstColumn="0" w:lastColumn="0" w:oddVBand="0" w:evenVBand="0" w:oddHBand="0" w:evenHBand="1" w:firstRowFirstColumn="0" w:firstRowLastColumn="0" w:lastRowFirstColumn="0" w:lastRowLastColumn="0"/>
            </w:pPr>
            <w:r>
              <w:t xml:space="preserve">Share that more information concerning the Student Learning Objective (SLO) process will be available in future training modules in the Guidebook on the SLO Process available on the ISBE Assessment website: </w:t>
            </w:r>
            <w:hyperlink r:id="rId15" w:history="1">
              <w:r w:rsidRPr="00A93971">
                <w:rPr>
                  <w:rStyle w:val="Hyperlink"/>
                </w:rPr>
                <w:t>www.isbe.state.il.us/assessment/htmls/balanced-asmt.htm</w:t>
              </w:r>
            </w:hyperlink>
            <w:r>
              <w:t xml:space="preserve"> </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shd w:val="clear" w:color="auto" w:fill="DBE5F1" w:themeFill="accent1" w:themeFillTint="33"/>
            <w:vAlign w:val="center"/>
          </w:tcPr>
          <w:p w:rsidR="00535FA8" w:rsidRDefault="00535FA8"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Guid</w:t>
            </w:r>
            <w:r w:rsidR="00D66F3F">
              <w:rPr>
                <w:rFonts w:cstheme="minorHAnsi"/>
              </w:rPr>
              <w:t>e</w:t>
            </w:r>
            <w:r>
              <w:rPr>
                <w:rFonts w:cstheme="minorHAnsi"/>
              </w:rPr>
              <w:t>book</w:t>
            </w:r>
            <w:r w:rsidR="00D66F3F">
              <w:rPr>
                <w:rFonts w:cstheme="minorHAnsi"/>
              </w:rPr>
              <w:t xml:space="preserve"> 2</w:t>
            </w:r>
          </w:p>
          <w:p w:rsidR="00D66F3F" w:rsidRDefault="00D66F3F"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Summary</w:t>
            </w:r>
          </w:p>
          <w:p w:rsidR="00D66F3F" w:rsidRPr="00D63972" w:rsidRDefault="00D66F3F"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Checklist</w:t>
            </w:r>
          </w:p>
        </w:tc>
        <w:tc>
          <w:tcPr>
            <w:tcW w:w="1350" w:type="dxa"/>
            <w:tcBorders>
              <w:left w:val="single" w:sz="8" w:space="0" w:color="7BA0CD" w:themeColor="accent1" w:themeTint="BF"/>
              <w:right w:val="single" w:sz="8" w:space="0" w:color="7BA0CD" w:themeColor="accent1" w:themeTint="BF"/>
            </w:tcBorders>
            <w:shd w:val="clear" w:color="auto" w:fill="DBE5F1" w:themeFill="accent1" w:themeFillTint="33"/>
            <w:vAlign w:val="center"/>
          </w:tcPr>
          <w:p w:rsidR="00D63972" w:rsidRPr="00D63972" w:rsidRDefault="004F08A6" w:rsidP="00535FA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10 Minutes</w:t>
            </w:r>
          </w:p>
        </w:tc>
        <w:tc>
          <w:tcPr>
            <w:tcW w:w="2178" w:type="dxa"/>
            <w:tcBorders>
              <w:left w:val="single" w:sz="8" w:space="0" w:color="7BA0CD" w:themeColor="accent1" w:themeTint="BF"/>
            </w:tcBorders>
            <w:shd w:val="clear" w:color="auto" w:fill="DBE5F1" w:themeFill="accent1" w:themeFillTint="33"/>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D63972" w:rsidRPr="00D63972" w:rsidTr="00D6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shd w:val="clear" w:color="auto" w:fill="FFFFFF" w:themeFill="background1"/>
            <w:vAlign w:val="center"/>
          </w:tcPr>
          <w:p w:rsidR="00D63972" w:rsidRPr="00D63972" w:rsidRDefault="00535FA8" w:rsidP="00535FA8">
            <w:pPr>
              <w:rPr>
                <w:rFonts w:cstheme="minorHAnsi"/>
              </w:rPr>
            </w:pPr>
            <w:r>
              <w:rPr>
                <w:rFonts w:cstheme="minorHAnsi"/>
              </w:rPr>
              <w:t>Activity</w:t>
            </w:r>
          </w:p>
        </w:tc>
        <w:tc>
          <w:tcPr>
            <w:tcW w:w="648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F245E1" w:rsidRPr="00631FA8" w:rsidRDefault="00F245E1" w:rsidP="00F245E1">
            <w:pPr>
              <w:numPr>
                <w:ilvl w:val="0"/>
                <w:numId w:val="15"/>
              </w:numPr>
              <w:cnfStyle w:val="000000100000" w:firstRow="0" w:lastRow="0" w:firstColumn="0" w:lastColumn="0" w:oddVBand="0" w:evenVBand="0" w:oddHBand="1" w:evenHBand="0" w:firstRowFirstColumn="0" w:firstRowLastColumn="0" w:lastRowFirstColumn="0" w:lastRowLastColumn="0"/>
              <w:rPr>
                <w:b/>
              </w:rPr>
            </w:pPr>
            <w:r>
              <w:t>Refer participants to</w:t>
            </w:r>
            <w:r>
              <w:rPr>
                <w:i/>
              </w:rPr>
              <w:t xml:space="preserve"> </w:t>
            </w:r>
            <w:r>
              <w:t>Handout 2: Supports and Barriers.</w:t>
            </w:r>
          </w:p>
          <w:p w:rsidR="00F245E1" w:rsidRPr="00631FA8" w:rsidRDefault="00F245E1" w:rsidP="00F245E1">
            <w:pPr>
              <w:ind w:left="360"/>
              <w:cnfStyle w:val="000000100000" w:firstRow="0" w:lastRow="0" w:firstColumn="0" w:lastColumn="0" w:oddVBand="0" w:evenVBand="0" w:oddHBand="1" w:evenHBand="0" w:firstRowFirstColumn="0" w:firstRowLastColumn="0" w:lastRowFirstColumn="0" w:lastRowLastColumn="0"/>
              <w:rPr>
                <w:b/>
              </w:rPr>
            </w:pPr>
          </w:p>
          <w:p w:rsidR="00F245E1" w:rsidRDefault="00F245E1" w:rsidP="00F245E1">
            <w:pPr>
              <w:numPr>
                <w:ilvl w:val="0"/>
                <w:numId w:val="15"/>
              </w:numPr>
              <w:cnfStyle w:val="000000100000" w:firstRow="0" w:lastRow="0" w:firstColumn="0" w:lastColumn="0" w:oddVBand="0" w:evenVBand="0" w:oddHBand="1" w:evenHBand="0" w:firstRowFirstColumn="0" w:firstRowLastColumn="0" w:lastRowFirstColumn="0" w:lastRowLastColumn="0"/>
            </w:pPr>
            <w:r w:rsidRPr="00507761">
              <w:lastRenderedPageBreak/>
              <w:t xml:space="preserve">Ask </w:t>
            </w:r>
            <w:r>
              <w:t xml:space="preserve">individuals or small groups to think about the questions listed on </w:t>
            </w:r>
            <w:r w:rsidRPr="005D7937">
              <w:t xml:space="preserve">Handout </w:t>
            </w:r>
            <w:r>
              <w:t>2 in regard to the conversations posed for the joint committee in the module. Encourage individual or small groups to use the chart paper and other materials to organize their ideas.</w:t>
            </w:r>
          </w:p>
          <w:p w:rsidR="00F245E1" w:rsidRDefault="00F245E1" w:rsidP="00F245E1">
            <w:pPr>
              <w:ind w:left="360"/>
              <w:cnfStyle w:val="000000100000" w:firstRow="0" w:lastRow="0" w:firstColumn="0" w:lastColumn="0" w:oddVBand="0" w:evenVBand="0" w:oddHBand="1" w:evenHBand="0" w:firstRowFirstColumn="0" w:firstRowLastColumn="0" w:lastRowFirstColumn="0" w:lastRowLastColumn="0"/>
            </w:pPr>
          </w:p>
          <w:p w:rsidR="00F245E1" w:rsidRDefault="00F245E1" w:rsidP="00F245E1">
            <w:pPr>
              <w:numPr>
                <w:ilvl w:val="0"/>
                <w:numId w:val="15"/>
              </w:numPr>
              <w:cnfStyle w:val="000000100000" w:firstRow="0" w:lastRow="0" w:firstColumn="0" w:lastColumn="0" w:oddVBand="0" w:evenVBand="0" w:oddHBand="1" w:evenHBand="0" w:firstRowFirstColumn="0" w:firstRowLastColumn="0" w:lastRowFirstColumn="0" w:lastRowLastColumn="0"/>
            </w:pPr>
            <w:r>
              <w:t>Once groups have completed Handout 2, or the time allotted for the activity has expired, ask them to share their answers with the large group.</w:t>
            </w:r>
          </w:p>
          <w:p w:rsidR="00F245E1" w:rsidRDefault="00F245E1" w:rsidP="00F245E1">
            <w:pPr>
              <w:ind w:left="360"/>
              <w:cnfStyle w:val="000000100000" w:firstRow="0" w:lastRow="0" w:firstColumn="0" w:lastColumn="0" w:oddVBand="0" w:evenVBand="0" w:oddHBand="1" w:evenHBand="0" w:firstRowFirstColumn="0" w:firstRowLastColumn="0" w:lastRowFirstColumn="0" w:lastRowLastColumn="0"/>
            </w:pPr>
          </w:p>
          <w:p w:rsidR="00F245E1" w:rsidRDefault="00F245E1" w:rsidP="00F245E1">
            <w:pPr>
              <w:ind w:left="360"/>
              <w:cnfStyle w:val="000000100000" w:firstRow="0" w:lastRow="0" w:firstColumn="0" w:lastColumn="0" w:oddVBand="0" w:evenVBand="0" w:oddHBand="1" w:evenHBand="0" w:firstRowFirstColumn="0" w:firstRowLastColumn="0" w:lastRowFirstColumn="0" w:lastRowLastColumn="0"/>
            </w:pPr>
            <w:r w:rsidRPr="005D7937">
              <w:rPr>
                <w:b/>
              </w:rPr>
              <w:t>Another Option:</w:t>
            </w:r>
            <w:r>
              <w:t xml:space="preserve"> Ask groups/teams to list their answers to Handout 2 on a piece of chart paper. Post each individuals or small groups chart paper around the room and ask participants to engage in a “gallery walk” where each group walks around and reflects on the posted material.</w:t>
            </w:r>
          </w:p>
          <w:p w:rsidR="00F245E1" w:rsidRDefault="00F245E1" w:rsidP="00F245E1">
            <w:pPr>
              <w:ind w:left="360"/>
              <w:cnfStyle w:val="000000100000" w:firstRow="0" w:lastRow="0" w:firstColumn="0" w:lastColumn="0" w:oddVBand="0" w:evenVBand="0" w:oddHBand="1" w:evenHBand="0" w:firstRowFirstColumn="0" w:firstRowLastColumn="0" w:lastRowFirstColumn="0" w:lastRowLastColumn="0"/>
            </w:pPr>
          </w:p>
          <w:p w:rsidR="00F245E1" w:rsidRDefault="00F245E1" w:rsidP="00F245E1">
            <w:pPr>
              <w:ind w:left="360"/>
              <w:cnfStyle w:val="000000100000" w:firstRow="0" w:lastRow="0" w:firstColumn="0" w:lastColumn="0" w:oddVBand="0" w:evenVBand="0" w:oddHBand="1" w:evenHBand="0" w:firstRowFirstColumn="0" w:firstRowLastColumn="0" w:lastRowFirstColumn="0" w:lastRowLastColumn="0"/>
            </w:pPr>
            <w:r>
              <w:t xml:space="preserve">When all participants have had a chance to engage in the gallery walk, ask them to return to their seats to reflect on the answers presented by others. </w:t>
            </w:r>
          </w:p>
          <w:p w:rsidR="00F245E1" w:rsidRDefault="00F245E1" w:rsidP="00F245E1">
            <w:pPr>
              <w:ind w:left="360"/>
              <w:cnfStyle w:val="000000100000" w:firstRow="0" w:lastRow="0" w:firstColumn="0" w:lastColumn="0" w:oddVBand="0" w:evenVBand="0" w:oddHBand="1" w:evenHBand="0" w:firstRowFirstColumn="0" w:firstRowLastColumn="0" w:lastRowFirstColumn="0" w:lastRowLastColumn="0"/>
            </w:pPr>
          </w:p>
          <w:p w:rsidR="00F245E1" w:rsidRDefault="00F245E1" w:rsidP="00F245E1">
            <w:pPr>
              <w:numPr>
                <w:ilvl w:val="0"/>
                <w:numId w:val="15"/>
              </w:numPr>
              <w:cnfStyle w:val="000000100000" w:firstRow="0" w:lastRow="0" w:firstColumn="0" w:lastColumn="0" w:oddVBand="0" w:evenVBand="0" w:oddHBand="1" w:evenHBand="0" w:firstRowFirstColumn="0" w:firstRowLastColumn="0" w:lastRowFirstColumn="0" w:lastRowLastColumn="0"/>
            </w:pPr>
            <w:r>
              <w:t>Help participants connect identified barriers to possible supports and resources that are available.</w:t>
            </w:r>
          </w:p>
          <w:p w:rsidR="00F245E1" w:rsidRDefault="00F245E1" w:rsidP="00F245E1">
            <w:pPr>
              <w:ind w:left="360"/>
              <w:cnfStyle w:val="000000100000" w:firstRow="0" w:lastRow="0" w:firstColumn="0" w:lastColumn="0" w:oddVBand="0" w:evenVBand="0" w:oddHBand="1" w:evenHBand="0" w:firstRowFirstColumn="0" w:firstRowLastColumn="0" w:lastRowFirstColumn="0" w:lastRowLastColumn="0"/>
            </w:pPr>
          </w:p>
          <w:p w:rsidR="00D63972" w:rsidRDefault="00F245E1" w:rsidP="00F245E1">
            <w:pPr>
              <w:numPr>
                <w:ilvl w:val="0"/>
                <w:numId w:val="15"/>
              </w:numPr>
              <w:cnfStyle w:val="000000100000" w:firstRow="0" w:lastRow="0" w:firstColumn="0" w:lastColumn="0" w:oddVBand="0" w:evenVBand="0" w:oddHBand="1" w:evenHBand="0" w:firstRowFirstColumn="0" w:firstRowLastColumn="0" w:lastRowFirstColumn="0" w:lastRowLastColumn="0"/>
            </w:pPr>
            <w:r w:rsidRPr="007E3459">
              <w:t>If needed supports are identified but not available, contact the appropriate organization to let them know that a specific support is still needed</w:t>
            </w:r>
          </w:p>
          <w:p w:rsidR="00E809A0" w:rsidRDefault="00E809A0" w:rsidP="00E809A0">
            <w:pPr>
              <w:ind w:left="360"/>
              <w:cnfStyle w:val="000000100000" w:firstRow="0" w:lastRow="0" w:firstColumn="0" w:lastColumn="0" w:oddVBand="0" w:evenVBand="0" w:oddHBand="1" w:evenHBand="0" w:firstRowFirstColumn="0" w:firstRowLastColumn="0" w:lastRowFirstColumn="0" w:lastRowLastColumn="0"/>
            </w:pPr>
          </w:p>
          <w:p w:rsidR="00E809A0" w:rsidRDefault="00E809A0" w:rsidP="00F245E1">
            <w:pPr>
              <w:numPr>
                <w:ilvl w:val="0"/>
                <w:numId w:val="15"/>
              </w:numPr>
              <w:cnfStyle w:val="000000100000" w:firstRow="0" w:lastRow="0" w:firstColumn="0" w:lastColumn="0" w:oddVBand="0" w:evenVBand="0" w:oddHBand="1" w:evenHBand="0" w:firstRowFirstColumn="0" w:firstRowLastColumn="0" w:lastRowFirstColumn="0" w:lastRowLastColumn="0"/>
            </w:pPr>
            <w:r>
              <w:t>Questions?</w:t>
            </w:r>
          </w:p>
          <w:p w:rsidR="00E809A0" w:rsidRDefault="00E809A0" w:rsidP="00E809A0">
            <w:pPr>
              <w:ind w:left="360"/>
              <w:cnfStyle w:val="000000100000" w:firstRow="0" w:lastRow="0" w:firstColumn="0" w:lastColumn="0" w:oddVBand="0" w:evenVBand="0" w:oddHBand="1" w:evenHBand="0" w:firstRowFirstColumn="0" w:firstRowLastColumn="0" w:lastRowFirstColumn="0" w:lastRowLastColumn="0"/>
            </w:pPr>
          </w:p>
          <w:p w:rsidR="00E809A0" w:rsidRPr="00E809A0" w:rsidRDefault="00E809A0" w:rsidP="00E809A0">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E809A0">
              <w:t xml:space="preserve">Ask participants to complete the post portion of their pre-post along with the reflection questions.  Participants will need this </w:t>
            </w:r>
            <w:r w:rsidRPr="00E809A0">
              <w:lastRenderedPageBreak/>
              <w:t>information to complete the on-line evaluation and they should leave with this piece of paper.</w:t>
            </w:r>
          </w:p>
          <w:p w:rsidR="00E809A0" w:rsidRPr="00D63972" w:rsidRDefault="00E809A0" w:rsidP="00E809A0">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D63972"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Slide 28</w:t>
            </w: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29</w:t>
            </w: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p w:rsidR="00E809A0"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30</w:t>
            </w:r>
          </w:p>
          <w:p w:rsidR="00E809A0" w:rsidRPr="00D63972" w:rsidRDefault="00E809A0" w:rsidP="00535FA8">
            <w:pP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shd w:val="clear" w:color="auto" w:fill="FFFFFF" w:themeFill="background1"/>
            <w:vAlign w:val="center"/>
          </w:tcPr>
          <w:p w:rsidR="00D63972" w:rsidRPr="00D63972" w:rsidRDefault="00F245E1" w:rsidP="00535FA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30</w:t>
            </w:r>
            <w:r w:rsidR="004F08A6">
              <w:rPr>
                <w:rFonts w:cstheme="minorHAnsi"/>
              </w:rPr>
              <w:t xml:space="preserve"> Minutes</w:t>
            </w:r>
          </w:p>
        </w:tc>
        <w:tc>
          <w:tcPr>
            <w:tcW w:w="2178" w:type="dxa"/>
            <w:tcBorders>
              <w:left w:val="single" w:sz="8" w:space="0" w:color="7BA0CD" w:themeColor="accent1" w:themeTint="BF"/>
            </w:tcBorders>
            <w:shd w:val="clear" w:color="auto" w:fill="FFFFFF" w:themeFill="background1"/>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bl>
    <w:p w:rsidR="00D63972" w:rsidRDefault="00D63972"/>
    <w:p w:rsidR="0077201C" w:rsidRDefault="0077201C"/>
    <w:p w:rsidR="0077201C" w:rsidRDefault="0077201C"/>
    <w:p w:rsidR="0077201C" w:rsidRDefault="0077201C">
      <w:pPr>
        <w:sectPr w:rsidR="0077201C" w:rsidSect="00D63972">
          <w:pgSz w:w="15840" w:h="12240" w:orient="landscape"/>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4681"/>
        <w:gridCol w:w="4679"/>
      </w:tblGrid>
      <w:tr w:rsidR="0077201C" w:rsidTr="0077201C">
        <w:tc>
          <w:tcPr>
            <w:tcW w:w="4788" w:type="dxa"/>
            <w:shd w:val="clear" w:color="auto" w:fill="4F81BD" w:themeFill="accent1"/>
          </w:tcPr>
          <w:p w:rsidR="0077201C" w:rsidRPr="009B7C16" w:rsidRDefault="0077201C" w:rsidP="00CF5C1C">
            <w:pPr>
              <w:rPr>
                <w:rFonts w:asciiTheme="minorHAnsi" w:hAnsiTheme="minorHAnsi"/>
                <w:b/>
                <w:color w:val="FFFFFF" w:themeColor="background1"/>
                <w:sz w:val="40"/>
                <w:szCs w:val="40"/>
              </w:rPr>
            </w:pPr>
            <w:r>
              <w:rPr>
                <w:rFonts w:asciiTheme="minorHAnsi" w:hAnsiTheme="minorHAnsi"/>
                <w:b/>
                <w:color w:val="FFFFFF" w:themeColor="background1"/>
                <w:sz w:val="40"/>
                <w:szCs w:val="40"/>
              </w:rPr>
              <w:lastRenderedPageBreak/>
              <w:t>Supports and Barriers</w:t>
            </w:r>
          </w:p>
        </w:tc>
        <w:tc>
          <w:tcPr>
            <w:tcW w:w="4788" w:type="dxa"/>
            <w:shd w:val="clear" w:color="auto" w:fill="4F81BD" w:themeFill="accent1"/>
          </w:tcPr>
          <w:p w:rsidR="0077201C" w:rsidRPr="009B7C16" w:rsidRDefault="0077201C" w:rsidP="00CF5C1C">
            <w:pPr>
              <w:jc w:val="right"/>
              <w:rPr>
                <w:rFonts w:asciiTheme="minorHAnsi" w:hAnsiTheme="minorHAnsi"/>
                <w:b/>
                <w:color w:val="FFFFFF" w:themeColor="background1"/>
                <w:sz w:val="40"/>
                <w:szCs w:val="40"/>
              </w:rPr>
            </w:pPr>
            <w:r w:rsidRPr="009B7C16">
              <w:rPr>
                <w:rFonts w:asciiTheme="minorHAnsi" w:hAnsiTheme="minorHAnsi"/>
                <w:b/>
                <w:color w:val="FFFFFF" w:themeColor="background1"/>
                <w:sz w:val="40"/>
                <w:szCs w:val="40"/>
              </w:rPr>
              <w:t xml:space="preserve">Handout </w:t>
            </w:r>
            <w:r>
              <w:rPr>
                <w:rFonts w:asciiTheme="minorHAnsi" w:hAnsiTheme="minorHAnsi"/>
                <w:b/>
                <w:color w:val="FFFFFF" w:themeColor="background1"/>
                <w:sz w:val="40"/>
                <w:szCs w:val="40"/>
              </w:rPr>
              <w:t xml:space="preserve"> 2</w:t>
            </w:r>
          </w:p>
        </w:tc>
      </w:tr>
    </w:tbl>
    <w:p w:rsidR="0077201C" w:rsidRDefault="0077201C" w:rsidP="0077201C">
      <w:pPr>
        <w:rPr>
          <w:rFonts w:asciiTheme="minorHAnsi" w:hAnsiTheme="minorHAnsi"/>
          <w:sz w:val="22"/>
          <w:szCs w:val="22"/>
        </w:rPr>
      </w:pPr>
    </w:p>
    <w:p w:rsidR="0077201C" w:rsidRDefault="0077201C" w:rsidP="0077201C">
      <w:pPr>
        <w:rPr>
          <w:rFonts w:asciiTheme="minorHAnsi" w:hAnsiTheme="minorHAnsi"/>
          <w:sz w:val="22"/>
          <w:szCs w:val="22"/>
        </w:rPr>
      </w:pPr>
    </w:p>
    <w:p w:rsidR="0077201C" w:rsidRPr="000013A1" w:rsidRDefault="0077201C" w:rsidP="0077201C">
      <w:pPr>
        <w:rPr>
          <w:rFonts w:asciiTheme="minorHAnsi" w:hAnsiTheme="minorHAnsi"/>
          <w:sz w:val="22"/>
          <w:szCs w:val="22"/>
        </w:rPr>
      </w:pPr>
      <w:r>
        <w:rPr>
          <w:rFonts w:asciiTheme="minorHAnsi" w:hAnsiTheme="minorHAnsi"/>
          <w:sz w:val="22"/>
          <w:szCs w:val="22"/>
        </w:rPr>
        <w:t>List the available supports for the joint committee and district.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3"/>
        <w:gridCol w:w="8977"/>
      </w:tblGrid>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Pr="00EF5E59"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Pr="00E35964"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Default="0077201C" w:rsidP="00CF5C1C">
            <w:pPr>
              <w:rPr>
                <w:rFonts w:asciiTheme="minorHAnsi" w:hAnsiTheme="minorHAnsi"/>
                <w:sz w:val="22"/>
                <w:szCs w:val="22"/>
              </w:rPr>
            </w:pPr>
          </w:p>
        </w:tc>
      </w:tr>
    </w:tbl>
    <w:p w:rsidR="0077201C" w:rsidRDefault="0077201C" w:rsidP="0077201C">
      <w:pPr>
        <w:ind w:left="360"/>
        <w:rPr>
          <w:rFonts w:asciiTheme="minorHAnsi" w:hAnsiTheme="minorHAnsi"/>
          <w:sz w:val="22"/>
          <w:szCs w:val="22"/>
        </w:rPr>
      </w:pPr>
    </w:p>
    <w:p w:rsidR="0077201C" w:rsidRDefault="0077201C" w:rsidP="0077201C">
      <w:pPr>
        <w:ind w:left="360"/>
        <w:rPr>
          <w:rFonts w:asciiTheme="minorHAnsi" w:hAnsiTheme="minorHAnsi"/>
          <w:sz w:val="22"/>
          <w:szCs w:val="22"/>
        </w:rPr>
      </w:pPr>
    </w:p>
    <w:p w:rsidR="0077201C" w:rsidRDefault="0077201C" w:rsidP="0077201C">
      <w:pPr>
        <w:rPr>
          <w:rFonts w:asciiTheme="minorHAnsi" w:hAnsiTheme="minorHAnsi"/>
          <w:sz w:val="22"/>
          <w:szCs w:val="22"/>
        </w:rPr>
      </w:pPr>
      <w:r>
        <w:rPr>
          <w:rFonts w:asciiTheme="minorHAnsi" w:hAnsiTheme="minorHAnsi"/>
          <w:sz w:val="22"/>
          <w:szCs w:val="22"/>
        </w:rPr>
        <w:t>List the possible current and future barriers to the implementation of a quality evaluation plan.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3"/>
        <w:gridCol w:w="8977"/>
      </w:tblGrid>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Pr="00EF5E59"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Pr="00E35964"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Default="0077201C" w:rsidP="00CF5C1C">
            <w:pPr>
              <w:rPr>
                <w:rFonts w:asciiTheme="minorHAnsi" w:hAnsiTheme="minorHAnsi"/>
                <w:sz w:val="22"/>
                <w:szCs w:val="22"/>
              </w:rPr>
            </w:pPr>
          </w:p>
        </w:tc>
      </w:tr>
    </w:tbl>
    <w:p w:rsidR="0077201C" w:rsidRDefault="0077201C" w:rsidP="0077201C">
      <w:pPr>
        <w:rPr>
          <w:rFonts w:asciiTheme="minorHAnsi" w:hAnsiTheme="minorHAnsi"/>
          <w:sz w:val="22"/>
          <w:szCs w:val="22"/>
        </w:rPr>
      </w:pPr>
    </w:p>
    <w:p w:rsidR="0077201C" w:rsidRDefault="0077201C" w:rsidP="0077201C">
      <w:pPr>
        <w:rPr>
          <w:rFonts w:asciiTheme="minorHAnsi" w:hAnsiTheme="minorHAnsi"/>
          <w:sz w:val="22"/>
          <w:szCs w:val="22"/>
        </w:rPr>
      </w:pPr>
    </w:p>
    <w:p w:rsidR="0077201C" w:rsidRDefault="0077201C" w:rsidP="0077201C">
      <w:pPr>
        <w:rPr>
          <w:rFonts w:asciiTheme="minorHAnsi" w:hAnsiTheme="minorHAnsi"/>
          <w:sz w:val="22"/>
          <w:szCs w:val="22"/>
        </w:rPr>
      </w:pPr>
      <w:r>
        <w:rPr>
          <w:rFonts w:asciiTheme="minorHAnsi" w:hAnsiTheme="minorHAnsi"/>
          <w:sz w:val="22"/>
          <w:szCs w:val="22"/>
        </w:rPr>
        <w:t>How might you use the available supports to overcome current and future barriers?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3"/>
        <w:gridCol w:w="8977"/>
      </w:tblGrid>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Pr="00EF5E59"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Pr="00E35964"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Default="0077201C" w:rsidP="00CF5C1C">
            <w:pPr>
              <w:rPr>
                <w:rFonts w:asciiTheme="minorHAnsi" w:hAnsiTheme="minorHAnsi"/>
                <w:sz w:val="22"/>
                <w:szCs w:val="22"/>
              </w:rPr>
            </w:pPr>
          </w:p>
        </w:tc>
      </w:tr>
    </w:tbl>
    <w:p w:rsidR="0077201C" w:rsidRDefault="0077201C" w:rsidP="0077201C">
      <w:pPr>
        <w:rPr>
          <w:rFonts w:asciiTheme="minorHAnsi" w:hAnsiTheme="minorHAnsi"/>
          <w:sz w:val="22"/>
          <w:szCs w:val="22"/>
        </w:rPr>
      </w:pPr>
    </w:p>
    <w:p w:rsidR="0077201C" w:rsidRDefault="0077201C" w:rsidP="0077201C">
      <w:pPr>
        <w:ind w:left="360"/>
        <w:rPr>
          <w:rFonts w:asciiTheme="minorHAnsi" w:hAnsiTheme="minorHAnsi"/>
          <w:sz w:val="22"/>
          <w:szCs w:val="22"/>
        </w:rPr>
      </w:pPr>
    </w:p>
    <w:p w:rsidR="0077201C" w:rsidRDefault="0077201C" w:rsidP="0077201C">
      <w:pPr>
        <w:rPr>
          <w:rFonts w:asciiTheme="minorHAnsi" w:hAnsiTheme="minorHAnsi"/>
          <w:sz w:val="22"/>
          <w:szCs w:val="22"/>
        </w:rPr>
      </w:pPr>
      <w:r>
        <w:rPr>
          <w:rFonts w:asciiTheme="minorHAnsi" w:hAnsiTheme="minorHAnsi"/>
          <w:sz w:val="22"/>
          <w:szCs w:val="22"/>
        </w:rPr>
        <w:t>What supports are still needed and where could you find them?</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3"/>
        <w:gridCol w:w="8977"/>
      </w:tblGrid>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Pr="00EF5E59"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Pr="00E35964"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Default="0077201C" w:rsidP="00CF5C1C">
            <w:pPr>
              <w:rPr>
                <w:rFonts w:asciiTheme="minorHAnsi" w:hAnsiTheme="minorHAnsi"/>
                <w:sz w:val="22"/>
                <w:szCs w:val="22"/>
              </w:rPr>
            </w:pPr>
          </w:p>
        </w:tc>
      </w:tr>
      <w:tr w:rsidR="0077201C" w:rsidTr="00CF5C1C">
        <w:tc>
          <w:tcPr>
            <w:tcW w:w="387" w:type="dxa"/>
          </w:tcPr>
          <w:p w:rsidR="0077201C" w:rsidRDefault="0077201C" w:rsidP="00CF5C1C">
            <w:pPr>
              <w:rPr>
                <w:rFonts w:asciiTheme="minorHAnsi" w:hAnsiTheme="minorHAnsi"/>
                <w:b/>
                <w:sz w:val="22"/>
                <w:szCs w:val="22"/>
              </w:rPr>
            </w:pPr>
          </w:p>
        </w:tc>
        <w:tc>
          <w:tcPr>
            <w:tcW w:w="9189" w:type="dxa"/>
          </w:tcPr>
          <w:p w:rsidR="0077201C" w:rsidRDefault="0077201C" w:rsidP="00CF5C1C">
            <w:pPr>
              <w:rPr>
                <w:rFonts w:asciiTheme="minorHAnsi" w:hAnsiTheme="minorHAnsi"/>
                <w:sz w:val="22"/>
                <w:szCs w:val="22"/>
              </w:rPr>
            </w:pPr>
          </w:p>
          <w:p w:rsidR="0077201C" w:rsidRDefault="0077201C" w:rsidP="00CF5C1C">
            <w:pPr>
              <w:rPr>
                <w:rFonts w:asciiTheme="minorHAnsi" w:hAnsiTheme="minorHAnsi"/>
                <w:sz w:val="22"/>
                <w:szCs w:val="22"/>
              </w:rPr>
            </w:pPr>
          </w:p>
        </w:tc>
      </w:tr>
    </w:tbl>
    <w:p w:rsidR="0077201C" w:rsidRDefault="0077201C" w:rsidP="0077201C">
      <w:pPr>
        <w:rPr>
          <w:rFonts w:asciiTheme="minorHAnsi" w:hAnsiTheme="minorHAnsi"/>
          <w:sz w:val="22"/>
          <w:szCs w:val="22"/>
        </w:rPr>
      </w:pPr>
    </w:p>
    <w:p w:rsidR="0077201C" w:rsidRDefault="0077201C" w:rsidP="0077201C"/>
    <w:p w:rsidR="0077201C" w:rsidRDefault="0077201C" w:rsidP="0077201C"/>
    <w:p w:rsidR="0077201C" w:rsidRDefault="0077201C"/>
    <w:p w:rsidR="009D1025" w:rsidRDefault="009D1025" w:rsidP="00BA48F8">
      <w:pPr>
        <w:jc w:val="center"/>
      </w:pPr>
    </w:p>
    <w:p w:rsidR="00BA48F8" w:rsidRPr="00913F89" w:rsidRDefault="00BA48F8" w:rsidP="00BA48F8">
      <w:pPr>
        <w:jc w:val="center"/>
        <w:rPr>
          <w:rFonts w:asciiTheme="minorHAnsi" w:hAnsiTheme="minorHAnsi"/>
          <w:b/>
          <w:sz w:val="22"/>
          <w:szCs w:val="22"/>
        </w:rPr>
      </w:pPr>
      <w:r w:rsidRPr="00913F89">
        <w:rPr>
          <w:rFonts w:asciiTheme="minorHAnsi" w:hAnsiTheme="minorHAnsi"/>
          <w:b/>
          <w:sz w:val="22"/>
          <w:szCs w:val="22"/>
        </w:rPr>
        <w:lastRenderedPageBreak/>
        <w:t>Resources</w:t>
      </w:r>
    </w:p>
    <w:p w:rsidR="00BA48F8" w:rsidRDefault="00BA48F8" w:rsidP="00BA48F8">
      <w:pPr>
        <w:jc w:val="center"/>
        <w:rPr>
          <w:rFonts w:asciiTheme="minorHAnsi" w:hAnsiTheme="minorHAnsi"/>
          <w:sz w:val="22"/>
          <w:szCs w:val="22"/>
        </w:rPr>
      </w:pPr>
    </w:p>
    <w:p w:rsidR="00BA48F8" w:rsidRPr="00E40589" w:rsidRDefault="00BA48F8" w:rsidP="00BA48F8">
      <w:pPr>
        <w:numPr>
          <w:ilvl w:val="0"/>
          <w:numId w:val="22"/>
        </w:numPr>
        <w:rPr>
          <w:rFonts w:asciiTheme="minorHAnsi" w:hAnsiTheme="minorHAnsi"/>
          <w:sz w:val="22"/>
          <w:szCs w:val="22"/>
        </w:rPr>
      </w:pPr>
      <w:r w:rsidRPr="00E40589">
        <w:rPr>
          <w:rFonts w:asciiTheme="minorHAnsi" w:hAnsiTheme="minorHAnsi"/>
          <w:sz w:val="22"/>
          <w:szCs w:val="22"/>
        </w:rPr>
        <w:t>Illinois Administration Code Part 50</w:t>
      </w:r>
    </w:p>
    <w:p w:rsidR="00BA48F8" w:rsidRPr="00E40589" w:rsidRDefault="00DC527C" w:rsidP="00BA48F8">
      <w:pPr>
        <w:numPr>
          <w:ilvl w:val="1"/>
          <w:numId w:val="22"/>
        </w:numPr>
        <w:rPr>
          <w:rFonts w:asciiTheme="minorHAnsi" w:hAnsiTheme="minorHAnsi"/>
          <w:sz w:val="22"/>
          <w:szCs w:val="22"/>
        </w:rPr>
      </w:pPr>
      <w:hyperlink r:id="rId16" w:history="1">
        <w:r w:rsidR="00BA48F8" w:rsidRPr="00E40589">
          <w:rPr>
            <w:rStyle w:val="Hyperlink"/>
            <w:rFonts w:asciiTheme="minorHAnsi" w:hAnsiTheme="minorHAnsi"/>
            <w:sz w:val="22"/>
            <w:szCs w:val="22"/>
          </w:rPr>
          <w:t>www.isbe.state.il.us/rules/archive/pdfs/50ARK.pdf</w:t>
        </w:r>
      </w:hyperlink>
      <w:r w:rsidR="00BA48F8" w:rsidRPr="00E40589">
        <w:rPr>
          <w:rFonts w:asciiTheme="minorHAnsi" w:hAnsiTheme="minorHAnsi"/>
          <w:sz w:val="22"/>
          <w:szCs w:val="22"/>
        </w:rPr>
        <w:t xml:space="preserve"> </w:t>
      </w:r>
    </w:p>
    <w:p w:rsidR="00BA48F8" w:rsidRDefault="00BA48F8" w:rsidP="00BA48F8">
      <w:pPr>
        <w:ind w:left="720"/>
        <w:rPr>
          <w:rFonts w:asciiTheme="minorHAnsi" w:hAnsiTheme="minorHAnsi"/>
          <w:sz w:val="22"/>
          <w:szCs w:val="22"/>
        </w:rPr>
      </w:pPr>
    </w:p>
    <w:p w:rsidR="00BA48F8" w:rsidRPr="00E40589" w:rsidRDefault="00BA48F8" w:rsidP="00BA48F8">
      <w:pPr>
        <w:numPr>
          <w:ilvl w:val="0"/>
          <w:numId w:val="22"/>
        </w:numPr>
        <w:rPr>
          <w:rFonts w:asciiTheme="minorHAnsi" w:hAnsiTheme="minorHAnsi"/>
          <w:sz w:val="22"/>
          <w:szCs w:val="22"/>
        </w:rPr>
      </w:pPr>
      <w:r>
        <w:rPr>
          <w:rFonts w:asciiTheme="minorHAnsi" w:hAnsiTheme="minorHAnsi"/>
          <w:sz w:val="22"/>
          <w:szCs w:val="22"/>
        </w:rPr>
        <w:t>Performance Evaluation Advisory Council (PEAC)</w:t>
      </w:r>
    </w:p>
    <w:p w:rsidR="00BA48F8" w:rsidRDefault="00DC527C" w:rsidP="00BA48F8">
      <w:pPr>
        <w:numPr>
          <w:ilvl w:val="1"/>
          <w:numId w:val="24"/>
        </w:numPr>
        <w:rPr>
          <w:rFonts w:asciiTheme="minorHAnsi" w:hAnsiTheme="minorHAnsi"/>
          <w:sz w:val="22"/>
          <w:szCs w:val="22"/>
        </w:rPr>
      </w:pPr>
      <w:hyperlink r:id="rId17" w:history="1">
        <w:r w:rsidR="00BA48F8" w:rsidRPr="00E40589">
          <w:rPr>
            <w:rStyle w:val="Hyperlink"/>
            <w:rFonts w:asciiTheme="minorHAnsi" w:hAnsiTheme="minorHAnsi"/>
            <w:sz w:val="22"/>
            <w:szCs w:val="22"/>
          </w:rPr>
          <w:t>www.isbe.net/PEAC</w:t>
        </w:r>
      </w:hyperlink>
      <w:r w:rsidR="00BA48F8" w:rsidRPr="00E40589">
        <w:rPr>
          <w:rFonts w:asciiTheme="minorHAnsi" w:hAnsiTheme="minorHAnsi"/>
          <w:sz w:val="22"/>
          <w:szCs w:val="22"/>
        </w:rPr>
        <w:t xml:space="preserve"> </w:t>
      </w:r>
    </w:p>
    <w:p w:rsidR="00BA48F8" w:rsidRDefault="00BA48F8" w:rsidP="00BA48F8">
      <w:pPr>
        <w:numPr>
          <w:ilvl w:val="2"/>
          <w:numId w:val="24"/>
        </w:numPr>
        <w:rPr>
          <w:rFonts w:asciiTheme="minorHAnsi" w:hAnsiTheme="minorHAnsi"/>
          <w:sz w:val="22"/>
          <w:szCs w:val="22"/>
        </w:rPr>
      </w:pPr>
      <w:r>
        <w:rPr>
          <w:rFonts w:asciiTheme="minorHAnsi" w:hAnsiTheme="minorHAnsi"/>
          <w:sz w:val="22"/>
          <w:szCs w:val="22"/>
        </w:rPr>
        <w:t>Guidebooks:</w:t>
      </w:r>
    </w:p>
    <w:p w:rsidR="00BA48F8" w:rsidRPr="00F813F3" w:rsidRDefault="00DC527C" w:rsidP="00BA48F8">
      <w:pPr>
        <w:numPr>
          <w:ilvl w:val="2"/>
          <w:numId w:val="24"/>
        </w:numPr>
        <w:rPr>
          <w:rFonts w:asciiTheme="minorHAnsi" w:hAnsiTheme="minorHAnsi"/>
          <w:sz w:val="22"/>
          <w:szCs w:val="22"/>
        </w:rPr>
      </w:pPr>
      <w:hyperlink r:id="rId18" w:history="1">
        <w:r w:rsidR="00BA48F8" w:rsidRPr="00A93971">
          <w:rPr>
            <w:rStyle w:val="Hyperlink"/>
            <w:rFonts w:asciiTheme="minorHAnsi" w:hAnsiTheme="minorHAnsi"/>
            <w:sz w:val="22"/>
            <w:szCs w:val="22"/>
          </w:rPr>
          <w:t>www.isbe.net/PEAC/pdf/guidance/13-3-dist-dec-making.pdf</w:t>
        </w:r>
      </w:hyperlink>
      <w:r w:rsidR="00BA48F8">
        <w:rPr>
          <w:rFonts w:asciiTheme="minorHAnsi" w:hAnsiTheme="minorHAnsi"/>
          <w:sz w:val="22"/>
          <w:szCs w:val="22"/>
        </w:rPr>
        <w:t xml:space="preserve"> </w:t>
      </w:r>
      <w:r w:rsidR="00BA48F8" w:rsidRPr="00F813F3">
        <w:rPr>
          <w:rFonts w:asciiTheme="minorHAnsi" w:hAnsiTheme="minorHAnsi"/>
          <w:sz w:val="22"/>
          <w:szCs w:val="22"/>
        </w:rPr>
        <w:t xml:space="preserve"> </w:t>
      </w:r>
      <w:r w:rsidR="00BA48F8">
        <w:rPr>
          <w:rFonts w:asciiTheme="minorHAnsi" w:hAnsiTheme="minorHAnsi"/>
          <w:sz w:val="22"/>
          <w:szCs w:val="22"/>
        </w:rPr>
        <w:t xml:space="preserve"> </w:t>
      </w:r>
    </w:p>
    <w:p w:rsidR="00BA48F8" w:rsidRDefault="00DC527C" w:rsidP="00BA48F8">
      <w:pPr>
        <w:numPr>
          <w:ilvl w:val="2"/>
          <w:numId w:val="24"/>
        </w:numPr>
        <w:rPr>
          <w:rFonts w:asciiTheme="minorHAnsi" w:hAnsiTheme="minorHAnsi"/>
          <w:sz w:val="22"/>
          <w:szCs w:val="22"/>
        </w:rPr>
      </w:pPr>
      <w:hyperlink r:id="rId19" w:history="1">
        <w:r w:rsidR="00BA48F8" w:rsidRPr="00A93971">
          <w:rPr>
            <w:rStyle w:val="Hyperlink"/>
            <w:rFonts w:asciiTheme="minorHAnsi" w:hAnsiTheme="minorHAnsi"/>
            <w:sz w:val="22"/>
            <w:szCs w:val="22"/>
          </w:rPr>
          <w:t>www.isbe.net/PEAC/pdf/student-growth-component-guidebook.pdf</w:t>
        </w:r>
      </w:hyperlink>
      <w:r w:rsidR="00BA48F8">
        <w:rPr>
          <w:rFonts w:asciiTheme="minorHAnsi" w:hAnsiTheme="minorHAnsi"/>
          <w:sz w:val="22"/>
          <w:szCs w:val="22"/>
        </w:rPr>
        <w:t xml:space="preserve"> </w:t>
      </w:r>
      <w:r w:rsidR="00BA48F8" w:rsidRPr="00F813F3">
        <w:rPr>
          <w:rFonts w:asciiTheme="minorHAnsi" w:hAnsiTheme="minorHAnsi"/>
          <w:sz w:val="22"/>
          <w:szCs w:val="22"/>
        </w:rPr>
        <w:t xml:space="preserve"> </w:t>
      </w:r>
    </w:p>
    <w:p w:rsidR="00BA48F8" w:rsidRDefault="00BA48F8" w:rsidP="00BA48F8">
      <w:pPr>
        <w:ind w:left="2160"/>
        <w:rPr>
          <w:rFonts w:asciiTheme="minorHAnsi" w:hAnsiTheme="minorHAnsi"/>
          <w:sz w:val="22"/>
          <w:szCs w:val="22"/>
        </w:rPr>
      </w:pPr>
    </w:p>
    <w:p w:rsidR="00BA48F8" w:rsidRPr="00F813F3" w:rsidRDefault="00BA48F8" w:rsidP="00BA48F8">
      <w:pPr>
        <w:numPr>
          <w:ilvl w:val="0"/>
          <w:numId w:val="24"/>
        </w:numPr>
        <w:rPr>
          <w:rFonts w:asciiTheme="minorHAnsi" w:hAnsiTheme="minorHAnsi"/>
          <w:sz w:val="22"/>
          <w:szCs w:val="22"/>
        </w:rPr>
      </w:pPr>
      <w:r>
        <w:rPr>
          <w:rFonts w:asciiTheme="minorHAnsi" w:hAnsiTheme="minorHAnsi"/>
          <w:sz w:val="22"/>
          <w:szCs w:val="22"/>
        </w:rPr>
        <w:t>ISBE Assessment Division Resources</w:t>
      </w:r>
    </w:p>
    <w:p w:rsidR="00BA48F8" w:rsidRPr="00E40589" w:rsidRDefault="00DC527C" w:rsidP="00BA48F8">
      <w:pPr>
        <w:numPr>
          <w:ilvl w:val="1"/>
          <w:numId w:val="24"/>
        </w:numPr>
        <w:rPr>
          <w:rFonts w:asciiTheme="minorHAnsi" w:hAnsiTheme="minorHAnsi"/>
          <w:sz w:val="22"/>
          <w:szCs w:val="22"/>
        </w:rPr>
      </w:pPr>
      <w:hyperlink r:id="rId20" w:history="1">
        <w:r w:rsidR="00BA48F8" w:rsidRPr="00E40589">
          <w:rPr>
            <w:rStyle w:val="Hyperlink"/>
            <w:rFonts w:asciiTheme="minorHAnsi" w:hAnsiTheme="minorHAnsi"/>
            <w:sz w:val="22"/>
            <w:szCs w:val="22"/>
          </w:rPr>
          <w:t>www.isbe.state.il.us/assessment/htmls/balanced-asmt.htm</w:t>
        </w:r>
      </w:hyperlink>
      <w:r w:rsidR="00BA48F8" w:rsidRPr="00E40589">
        <w:rPr>
          <w:rFonts w:asciiTheme="minorHAnsi" w:hAnsiTheme="minorHAnsi"/>
          <w:sz w:val="22"/>
          <w:szCs w:val="22"/>
        </w:rPr>
        <w:t xml:space="preserve">   </w:t>
      </w:r>
    </w:p>
    <w:p w:rsidR="00BA48F8" w:rsidRPr="00E40589" w:rsidRDefault="00BA48F8" w:rsidP="00BA48F8">
      <w:pPr>
        <w:ind w:left="720"/>
        <w:rPr>
          <w:rFonts w:asciiTheme="minorHAnsi" w:hAnsiTheme="minorHAnsi"/>
          <w:sz w:val="22"/>
          <w:szCs w:val="22"/>
        </w:rPr>
      </w:pPr>
    </w:p>
    <w:p w:rsidR="00BA48F8" w:rsidRPr="00E40589" w:rsidRDefault="00BA48F8" w:rsidP="00BA48F8">
      <w:pPr>
        <w:numPr>
          <w:ilvl w:val="0"/>
          <w:numId w:val="22"/>
        </w:numPr>
        <w:rPr>
          <w:rFonts w:asciiTheme="minorHAnsi" w:hAnsiTheme="minorHAnsi"/>
          <w:sz w:val="22"/>
          <w:szCs w:val="22"/>
        </w:rPr>
      </w:pPr>
      <w:r w:rsidRPr="00E40589">
        <w:rPr>
          <w:rFonts w:asciiTheme="minorHAnsi" w:hAnsiTheme="minorHAnsi"/>
          <w:sz w:val="22"/>
          <w:szCs w:val="22"/>
        </w:rPr>
        <w:t xml:space="preserve">Joint Committee on Standards for Educational Evaluation. </w:t>
      </w:r>
      <w:r w:rsidRPr="00E40589">
        <w:rPr>
          <w:rFonts w:asciiTheme="minorHAnsi" w:hAnsiTheme="minorHAnsi"/>
          <w:i/>
          <w:iCs/>
          <w:sz w:val="22"/>
          <w:szCs w:val="22"/>
        </w:rPr>
        <w:t>Classroom assessment standards: Sound assessment practices for K-12 teachers</w:t>
      </w:r>
      <w:r w:rsidRPr="00E40589">
        <w:rPr>
          <w:rFonts w:asciiTheme="minorHAnsi" w:hAnsiTheme="minorHAnsi"/>
          <w:sz w:val="22"/>
          <w:szCs w:val="22"/>
        </w:rPr>
        <w:t>. Retrieved from:</w:t>
      </w:r>
    </w:p>
    <w:p w:rsidR="00BA48F8" w:rsidRPr="00E40589" w:rsidRDefault="00DC527C" w:rsidP="00BA48F8">
      <w:pPr>
        <w:numPr>
          <w:ilvl w:val="1"/>
          <w:numId w:val="22"/>
        </w:numPr>
        <w:rPr>
          <w:rFonts w:asciiTheme="minorHAnsi" w:hAnsiTheme="minorHAnsi"/>
          <w:sz w:val="22"/>
          <w:szCs w:val="22"/>
        </w:rPr>
      </w:pPr>
      <w:hyperlink r:id="rId21" w:history="1">
        <w:r w:rsidR="00BA48F8" w:rsidRPr="00E40589">
          <w:rPr>
            <w:rStyle w:val="Hyperlink"/>
            <w:rFonts w:asciiTheme="minorHAnsi" w:hAnsiTheme="minorHAnsi"/>
            <w:sz w:val="22"/>
            <w:szCs w:val="22"/>
          </w:rPr>
          <w:t>www.jcsee.org/standards-development</w:t>
        </w:r>
      </w:hyperlink>
      <w:r w:rsidR="00BA48F8" w:rsidRPr="00E40589">
        <w:rPr>
          <w:rFonts w:asciiTheme="minorHAnsi" w:hAnsiTheme="minorHAnsi"/>
          <w:sz w:val="22"/>
          <w:szCs w:val="22"/>
        </w:rPr>
        <w:t xml:space="preserve"> </w:t>
      </w:r>
    </w:p>
    <w:p w:rsidR="00BA48F8" w:rsidRDefault="00BA48F8" w:rsidP="00BA48F8">
      <w:pPr>
        <w:ind w:left="720"/>
        <w:rPr>
          <w:rFonts w:asciiTheme="minorHAnsi" w:hAnsiTheme="minorHAnsi"/>
          <w:sz w:val="22"/>
          <w:szCs w:val="22"/>
        </w:rPr>
      </w:pPr>
    </w:p>
    <w:p w:rsidR="00BA48F8" w:rsidRPr="00CE0BE0" w:rsidRDefault="00BA48F8" w:rsidP="00BA48F8">
      <w:pPr>
        <w:numPr>
          <w:ilvl w:val="0"/>
          <w:numId w:val="8"/>
        </w:numPr>
        <w:rPr>
          <w:rFonts w:asciiTheme="minorHAnsi" w:hAnsiTheme="minorHAnsi"/>
          <w:sz w:val="22"/>
          <w:szCs w:val="22"/>
        </w:rPr>
      </w:pPr>
      <w:r w:rsidRPr="009C33E4">
        <w:rPr>
          <w:rFonts w:asciiTheme="minorHAnsi" w:hAnsiTheme="minorHAnsi"/>
          <w:sz w:val="22"/>
          <w:szCs w:val="22"/>
        </w:rPr>
        <w:t>A Practitioners Guide to Growth Models</w:t>
      </w:r>
      <w:r>
        <w:rPr>
          <w:rFonts w:asciiTheme="minorHAnsi" w:hAnsiTheme="minorHAnsi"/>
          <w:sz w:val="22"/>
          <w:szCs w:val="22"/>
        </w:rPr>
        <w:t xml:space="preserve"> </w:t>
      </w:r>
    </w:p>
    <w:p w:rsidR="00BA48F8" w:rsidRDefault="00DC527C" w:rsidP="00BA48F8">
      <w:pPr>
        <w:numPr>
          <w:ilvl w:val="1"/>
          <w:numId w:val="8"/>
        </w:numPr>
        <w:rPr>
          <w:rFonts w:asciiTheme="minorHAnsi" w:hAnsiTheme="minorHAnsi"/>
          <w:sz w:val="22"/>
          <w:szCs w:val="22"/>
        </w:rPr>
      </w:pPr>
      <w:hyperlink r:id="rId22" w:history="1">
        <w:r w:rsidR="00BA48F8" w:rsidRPr="00D041BF">
          <w:rPr>
            <w:rStyle w:val="Hyperlink"/>
            <w:rFonts w:asciiTheme="minorHAnsi" w:hAnsiTheme="minorHAnsi"/>
            <w:sz w:val="22"/>
            <w:szCs w:val="22"/>
          </w:rPr>
          <w:t>www.ccsso.org/Resources/Publications/A_Practitioners_Guide_to_Growth_Models.html</w:t>
        </w:r>
      </w:hyperlink>
      <w:r w:rsidR="00BA48F8">
        <w:rPr>
          <w:rFonts w:asciiTheme="minorHAnsi" w:hAnsiTheme="minorHAnsi"/>
          <w:sz w:val="22"/>
          <w:szCs w:val="22"/>
        </w:rPr>
        <w:t xml:space="preserve"> </w:t>
      </w: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ind w:left="720"/>
        <w:rPr>
          <w:rFonts w:asciiTheme="minorHAnsi" w:hAnsiTheme="minorHAnsi"/>
          <w:sz w:val="22"/>
          <w:szCs w:val="22"/>
        </w:rPr>
      </w:pPr>
    </w:p>
    <w:p w:rsidR="00BA48F8" w:rsidRDefault="00BA48F8" w:rsidP="00BA48F8">
      <w:pPr>
        <w:jc w:val="center"/>
        <w:rPr>
          <w:rFonts w:asciiTheme="minorHAnsi" w:hAnsiTheme="minorHAnsi"/>
          <w:b/>
          <w:sz w:val="32"/>
          <w:szCs w:val="32"/>
        </w:rPr>
      </w:pPr>
    </w:p>
    <w:sectPr w:rsidR="00BA48F8" w:rsidSect="007720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7C" w:rsidRDefault="00DC527C" w:rsidP="00D63972">
      <w:r>
        <w:separator/>
      </w:r>
    </w:p>
  </w:endnote>
  <w:endnote w:type="continuationSeparator" w:id="0">
    <w:p w:rsidR="00DC527C" w:rsidRDefault="00DC527C" w:rsidP="00D6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80103"/>
      <w:docPartObj>
        <w:docPartGallery w:val="Page Numbers (Bottom of Page)"/>
        <w:docPartUnique/>
      </w:docPartObj>
    </w:sdtPr>
    <w:sdtEndPr>
      <w:rPr>
        <w:noProof/>
      </w:rPr>
    </w:sdtEndPr>
    <w:sdtContent>
      <w:p w:rsidR="008B77AB" w:rsidRDefault="008B77AB">
        <w:pPr>
          <w:pStyle w:val="Footer"/>
          <w:jc w:val="right"/>
        </w:pPr>
        <w:r>
          <w:fldChar w:fldCharType="begin"/>
        </w:r>
        <w:r>
          <w:instrText xml:space="preserve"> PAGE   \* MERGEFORMAT </w:instrText>
        </w:r>
        <w:r>
          <w:fldChar w:fldCharType="separate"/>
        </w:r>
        <w:r w:rsidR="004D43C9">
          <w:rPr>
            <w:noProof/>
          </w:rPr>
          <w:t>7</w:t>
        </w:r>
        <w:r>
          <w:rPr>
            <w:noProof/>
          </w:rPr>
          <w:fldChar w:fldCharType="end"/>
        </w:r>
      </w:p>
    </w:sdtContent>
  </w:sdt>
  <w:p w:rsidR="008B77AB" w:rsidRDefault="008B77AB" w:rsidP="00535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026666"/>
      <w:docPartObj>
        <w:docPartGallery w:val="Page Numbers (Bottom of Page)"/>
        <w:docPartUnique/>
      </w:docPartObj>
    </w:sdtPr>
    <w:sdtEndPr>
      <w:rPr>
        <w:noProof/>
      </w:rPr>
    </w:sdtEndPr>
    <w:sdtContent>
      <w:p w:rsidR="008B77AB" w:rsidRDefault="008B77AB">
        <w:pPr>
          <w:pStyle w:val="Footer"/>
          <w:jc w:val="right"/>
        </w:pPr>
        <w:r>
          <w:fldChar w:fldCharType="begin"/>
        </w:r>
        <w:r>
          <w:instrText xml:space="preserve"> PAGE   \* MERGEFORMAT </w:instrText>
        </w:r>
        <w:r>
          <w:fldChar w:fldCharType="separate"/>
        </w:r>
        <w:r w:rsidR="004D43C9">
          <w:rPr>
            <w:noProof/>
          </w:rPr>
          <w:t>10</w:t>
        </w:r>
        <w:r>
          <w:rPr>
            <w:noProof/>
          </w:rPr>
          <w:fldChar w:fldCharType="end"/>
        </w:r>
      </w:p>
    </w:sdtContent>
  </w:sdt>
  <w:p w:rsidR="008B77AB" w:rsidRPr="00FA36A9" w:rsidRDefault="008B77AB">
    <w:pPr>
      <w:ind w:right="260"/>
      <w:rPr>
        <w:color w:val="0F243E" w:themeColor="text2"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7C" w:rsidRDefault="00DC527C" w:rsidP="00D63972">
      <w:r>
        <w:separator/>
      </w:r>
    </w:p>
  </w:footnote>
  <w:footnote w:type="continuationSeparator" w:id="0">
    <w:p w:rsidR="00DC527C" w:rsidRDefault="00DC527C" w:rsidP="00D6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AB" w:rsidRDefault="008B7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3A2"/>
    <w:multiLevelType w:val="hybridMultilevel"/>
    <w:tmpl w:val="E39EE214"/>
    <w:lvl w:ilvl="0" w:tplc="9F3671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5DD3"/>
    <w:multiLevelType w:val="hybridMultilevel"/>
    <w:tmpl w:val="6506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432A"/>
    <w:multiLevelType w:val="hybridMultilevel"/>
    <w:tmpl w:val="D9E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605D"/>
    <w:multiLevelType w:val="hybridMultilevel"/>
    <w:tmpl w:val="6ABABB04"/>
    <w:lvl w:ilvl="0" w:tplc="9F36718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75D4D"/>
    <w:multiLevelType w:val="hybridMultilevel"/>
    <w:tmpl w:val="5300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65CDE"/>
    <w:multiLevelType w:val="hybridMultilevel"/>
    <w:tmpl w:val="DB1A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4CC"/>
    <w:multiLevelType w:val="hybridMultilevel"/>
    <w:tmpl w:val="FF10A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11E76"/>
    <w:multiLevelType w:val="hybridMultilevel"/>
    <w:tmpl w:val="8DC43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F3562"/>
    <w:multiLevelType w:val="hybridMultilevel"/>
    <w:tmpl w:val="66B6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0423F"/>
    <w:multiLevelType w:val="hybridMultilevel"/>
    <w:tmpl w:val="5FAA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97AB8"/>
    <w:multiLevelType w:val="hybridMultilevel"/>
    <w:tmpl w:val="B5EA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C6383"/>
    <w:multiLevelType w:val="hybridMultilevel"/>
    <w:tmpl w:val="DD2C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A6F26"/>
    <w:multiLevelType w:val="hybridMultilevel"/>
    <w:tmpl w:val="3B92C6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146CEC"/>
    <w:multiLevelType w:val="hybridMultilevel"/>
    <w:tmpl w:val="BB02B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C226CFD"/>
    <w:multiLevelType w:val="hybridMultilevel"/>
    <w:tmpl w:val="5F20AD24"/>
    <w:lvl w:ilvl="0" w:tplc="EB76A2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729D9E">
      <w:start w:val="1"/>
      <w:numFmt w:val="bullet"/>
      <w:lvlText w:val="•"/>
      <w:lvlJc w:val="left"/>
      <w:pPr>
        <w:tabs>
          <w:tab w:val="num" w:pos="2160"/>
        </w:tabs>
        <w:ind w:left="2160" w:hanging="360"/>
      </w:pPr>
      <w:rPr>
        <w:rFonts w:ascii="Arial" w:hAnsi="Arial" w:hint="default"/>
      </w:rPr>
    </w:lvl>
    <w:lvl w:ilvl="3" w:tplc="AB64C81A">
      <w:numFmt w:val="bullet"/>
      <w:lvlText w:val="-"/>
      <w:lvlJc w:val="left"/>
      <w:pPr>
        <w:ind w:left="2880" w:hanging="360"/>
      </w:pPr>
      <w:rPr>
        <w:rFonts w:ascii="Calibri" w:eastAsiaTheme="minorHAnsi" w:hAnsi="Calibri" w:cs="Times New Roman" w:hint="default"/>
      </w:rPr>
    </w:lvl>
    <w:lvl w:ilvl="4" w:tplc="4AFC3E04" w:tentative="1">
      <w:start w:val="1"/>
      <w:numFmt w:val="bullet"/>
      <w:lvlText w:val="•"/>
      <w:lvlJc w:val="left"/>
      <w:pPr>
        <w:tabs>
          <w:tab w:val="num" w:pos="3600"/>
        </w:tabs>
        <w:ind w:left="3600" w:hanging="360"/>
      </w:pPr>
      <w:rPr>
        <w:rFonts w:ascii="Arial" w:hAnsi="Arial" w:hint="default"/>
      </w:rPr>
    </w:lvl>
    <w:lvl w:ilvl="5" w:tplc="B40A64F0" w:tentative="1">
      <w:start w:val="1"/>
      <w:numFmt w:val="bullet"/>
      <w:lvlText w:val="•"/>
      <w:lvlJc w:val="left"/>
      <w:pPr>
        <w:tabs>
          <w:tab w:val="num" w:pos="4320"/>
        </w:tabs>
        <w:ind w:left="4320" w:hanging="360"/>
      </w:pPr>
      <w:rPr>
        <w:rFonts w:ascii="Arial" w:hAnsi="Arial" w:hint="default"/>
      </w:rPr>
    </w:lvl>
    <w:lvl w:ilvl="6" w:tplc="C32AA13C" w:tentative="1">
      <w:start w:val="1"/>
      <w:numFmt w:val="bullet"/>
      <w:lvlText w:val="•"/>
      <w:lvlJc w:val="left"/>
      <w:pPr>
        <w:tabs>
          <w:tab w:val="num" w:pos="5040"/>
        </w:tabs>
        <w:ind w:left="5040" w:hanging="360"/>
      </w:pPr>
      <w:rPr>
        <w:rFonts w:ascii="Arial" w:hAnsi="Arial" w:hint="default"/>
      </w:rPr>
    </w:lvl>
    <w:lvl w:ilvl="7" w:tplc="1140160C" w:tentative="1">
      <w:start w:val="1"/>
      <w:numFmt w:val="bullet"/>
      <w:lvlText w:val="•"/>
      <w:lvlJc w:val="left"/>
      <w:pPr>
        <w:tabs>
          <w:tab w:val="num" w:pos="5760"/>
        </w:tabs>
        <w:ind w:left="5760" w:hanging="360"/>
      </w:pPr>
      <w:rPr>
        <w:rFonts w:ascii="Arial" w:hAnsi="Arial" w:hint="default"/>
      </w:rPr>
    </w:lvl>
    <w:lvl w:ilvl="8" w:tplc="469EA8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206E88"/>
    <w:multiLevelType w:val="hybridMultilevel"/>
    <w:tmpl w:val="4D62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63910"/>
    <w:multiLevelType w:val="hybridMultilevel"/>
    <w:tmpl w:val="6A688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E32BC"/>
    <w:multiLevelType w:val="hybridMultilevel"/>
    <w:tmpl w:val="230C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20225"/>
    <w:multiLevelType w:val="hybridMultilevel"/>
    <w:tmpl w:val="D41CC836"/>
    <w:lvl w:ilvl="0" w:tplc="9F3671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F960FB"/>
    <w:multiLevelType w:val="hybridMultilevel"/>
    <w:tmpl w:val="C798CF6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E7374"/>
    <w:multiLevelType w:val="hybridMultilevel"/>
    <w:tmpl w:val="FF10A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9949CB"/>
    <w:multiLevelType w:val="hybridMultilevel"/>
    <w:tmpl w:val="86A6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A77F7"/>
    <w:multiLevelType w:val="hybridMultilevel"/>
    <w:tmpl w:val="E95613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9E7262"/>
    <w:multiLevelType w:val="hybridMultilevel"/>
    <w:tmpl w:val="E9BEA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95744D7"/>
    <w:multiLevelType w:val="hybridMultilevel"/>
    <w:tmpl w:val="269EFC9E"/>
    <w:lvl w:ilvl="0" w:tplc="EB76A2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729D9E" w:tentative="1">
      <w:start w:val="1"/>
      <w:numFmt w:val="bullet"/>
      <w:lvlText w:val="•"/>
      <w:lvlJc w:val="left"/>
      <w:pPr>
        <w:tabs>
          <w:tab w:val="num" w:pos="2160"/>
        </w:tabs>
        <w:ind w:left="2160" w:hanging="360"/>
      </w:pPr>
      <w:rPr>
        <w:rFonts w:ascii="Arial" w:hAnsi="Arial" w:hint="default"/>
      </w:rPr>
    </w:lvl>
    <w:lvl w:ilvl="3" w:tplc="632ABBB2" w:tentative="1">
      <w:start w:val="1"/>
      <w:numFmt w:val="bullet"/>
      <w:lvlText w:val="•"/>
      <w:lvlJc w:val="left"/>
      <w:pPr>
        <w:tabs>
          <w:tab w:val="num" w:pos="2880"/>
        </w:tabs>
        <w:ind w:left="2880" w:hanging="360"/>
      </w:pPr>
      <w:rPr>
        <w:rFonts w:ascii="Arial" w:hAnsi="Arial" w:hint="default"/>
      </w:rPr>
    </w:lvl>
    <w:lvl w:ilvl="4" w:tplc="4AFC3E04" w:tentative="1">
      <w:start w:val="1"/>
      <w:numFmt w:val="bullet"/>
      <w:lvlText w:val="•"/>
      <w:lvlJc w:val="left"/>
      <w:pPr>
        <w:tabs>
          <w:tab w:val="num" w:pos="3600"/>
        </w:tabs>
        <w:ind w:left="3600" w:hanging="360"/>
      </w:pPr>
      <w:rPr>
        <w:rFonts w:ascii="Arial" w:hAnsi="Arial" w:hint="default"/>
      </w:rPr>
    </w:lvl>
    <w:lvl w:ilvl="5" w:tplc="B40A64F0" w:tentative="1">
      <w:start w:val="1"/>
      <w:numFmt w:val="bullet"/>
      <w:lvlText w:val="•"/>
      <w:lvlJc w:val="left"/>
      <w:pPr>
        <w:tabs>
          <w:tab w:val="num" w:pos="4320"/>
        </w:tabs>
        <w:ind w:left="4320" w:hanging="360"/>
      </w:pPr>
      <w:rPr>
        <w:rFonts w:ascii="Arial" w:hAnsi="Arial" w:hint="default"/>
      </w:rPr>
    </w:lvl>
    <w:lvl w:ilvl="6" w:tplc="C32AA13C" w:tentative="1">
      <w:start w:val="1"/>
      <w:numFmt w:val="bullet"/>
      <w:lvlText w:val="•"/>
      <w:lvlJc w:val="left"/>
      <w:pPr>
        <w:tabs>
          <w:tab w:val="num" w:pos="5040"/>
        </w:tabs>
        <w:ind w:left="5040" w:hanging="360"/>
      </w:pPr>
      <w:rPr>
        <w:rFonts w:ascii="Arial" w:hAnsi="Arial" w:hint="default"/>
      </w:rPr>
    </w:lvl>
    <w:lvl w:ilvl="7" w:tplc="1140160C" w:tentative="1">
      <w:start w:val="1"/>
      <w:numFmt w:val="bullet"/>
      <w:lvlText w:val="•"/>
      <w:lvlJc w:val="left"/>
      <w:pPr>
        <w:tabs>
          <w:tab w:val="num" w:pos="5760"/>
        </w:tabs>
        <w:ind w:left="5760" w:hanging="360"/>
      </w:pPr>
      <w:rPr>
        <w:rFonts w:ascii="Arial" w:hAnsi="Arial" w:hint="default"/>
      </w:rPr>
    </w:lvl>
    <w:lvl w:ilvl="8" w:tplc="469EA8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E36D6D"/>
    <w:multiLevelType w:val="hybridMultilevel"/>
    <w:tmpl w:val="CE96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67A9F"/>
    <w:multiLevelType w:val="hybridMultilevel"/>
    <w:tmpl w:val="E39EE214"/>
    <w:lvl w:ilvl="0" w:tplc="9F3671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5"/>
  </w:num>
  <w:num w:numId="5">
    <w:abstractNumId w:val="3"/>
  </w:num>
  <w:num w:numId="6">
    <w:abstractNumId w:val="17"/>
  </w:num>
  <w:num w:numId="7">
    <w:abstractNumId w:val="20"/>
  </w:num>
  <w:num w:numId="8">
    <w:abstractNumId w:val="10"/>
  </w:num>
  <w:num w:numId="9">
    <w:abstractNumId w:val="21"/>
  </w:num>
  <w:num w:numId="10">
    <w:abstractNumId w:val="4"/>
  </w:num>
  <w:num w:numId="11">
    <w:abstractNumId w:val="19"/>
  </w:num>
  <w:num w:numId="12">
    <w:abstractNumId w:val="12"/>
  </w:num>
  <w:num w:numId="13">
    <w:abstractNumId w:val="7"/>
  </w:num>
  <w:num w:numId="14">
    <w:abstractNumId w:val="6"/>
  </w:num>
  <w:num w:numId="15">
    <w:abstractNumId w:val="18"/>
  </w:num>
  <w:num w:numId="16">
    <w:abstractNumId w:val="25"/>
  </w:num>
  <w:num w:numId="17">
    <w:abstractNumId w:val="22"/>
  </w:num>
  <w:num w:numId="18">
    <w:abstractNumId w:val="13"/>
  </w:num>
  <w:num w:numId="19">
    <w:abstractNumId w:val="23"/>
  </w:num>
  <w:num w:numId="20">
    <w:abstractNumId w:val="8"/>
  </w:num>
  <w:num w:numId="21">
    <w:abstractNumId w:val="1"/>
  </w:num>
  <w:num w:numId="22">
    <w:abstractNumId w:val="24"/>
  </w:num>
  <w:num w:numId="23">
    <w:abstractNumId w:val="26"/>
  </w:num>
  <w:num w:numId="24">
    <w:abstractNumId w:val="14"/>
  </w:num>
  <w:num w:numId="25">
    <w:abstractNumId w:val="9"/>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72"/>
    <w:rsid w:val="00022140"/>
    <w:rsid w:val="000F0325"/>
    <w:rsid w:val="001753AF"/>
    <w:rsid w:val="00195A81"/>
    <w:rsid w:val="001F44EC"/>
    <w:rsid w:val="00210B18"/>
    <w:rsid w:val="002E5B17"/>
    <w:rsid w:val="002E5F92"/>
    <w:rsid w:val="00316C17"/>
    <w:rsid w:val="0032396A"/>
    <w:rsid w:val="003B670E"/>
    <w:rsid w:val="00487638"/>
    <w:rsid w:val="004D43C9"/>
    <w:rsid w:val="004F08A6"/>
    <w:rsid w:val="00535FA8"/>
    <w:rsid w:val="0056614C"/>
    <w:rsid w:val="005724DF"/>
    <w:rsid w:val="00595084"/>
    <w:rsid w:val="005D0959"/>
    <w:rsid w:val="005F6F57"/>
    <w:rsid w:val="006229F5"/>
    <w:rsid w:val="0077201C"/>
    <w:rsid w:val="008014A3"/>
    <w:rsid w:val="00803ADB"/>
    <w:rsid w:val="008B77AB"/>
    <w:rsid w:val="00950340"/>
    <w:rsid w:val="009A3650"/>
    <w:rsid w:val="009D1025"/>
    <w:rsid w:val="00AD0A3F"/>
    <w:rsid w:val="00AD7855"/>
    <w:rsid w:val="00B106BB"/>
    <w:rsid w:val="00BA48F8"/>
    <w:rsid w:val="00CF5C1C"/>
    <w:rsid w:val="00D60266"/>
    <w:rsid w:val="00D63972"/>
    <w:rsid w:val="00D66F3F"/>
    <w:rsid w:val="00DB1471"/>
    <w:rsid w:val="00DC527C"/>
    <w:rsid w:val="00E17847"/>
    <w:rsid w:val="00E3649C"/>
    <w:rsid w:val="00E7268E"/>
    <w:rsid w:val="00E809A0"/>
    <w:rsid w:val="00E820EE"/>
    <w:rsid w:val="00EA1615"/>
    <w:rsid w:val="00EB57AC"/>
    <w:rsid w:val="00EE6BF5"/>
    <w:rsid w:val="00F2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1B9F9-D622-4681-B144-0261E9D3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972"/>
    <w:rPr>
      <w:rFonts w:ascii="Tahoma" w:hAnsi="Tahoma" w:cs="Tahoma"/>
      <w:sz w:val="16"/>
      <w:szCs w:val="16"/>
    </w:rPr>
  </w:style>
  <w:style w:type="character" w:customStyle="1" w:styleId="BalloonTextChar">
    <w:name w:val="Balloon Text Char"/>
    <w:basedOn w:val="DefaultParagraphFont"/>
    <w:link w:val="BalloonText"/>
    <w:uiPriority w:val="99"/>
    <w:semiHidden/>
    <w:rsid w:val="00D63972"/>
    <w:rPr>
      <w:rFonts w:ascii="Tahoma" w:hAnsi="Tahoma" w:cs="Tahoma"/>
      <w:sz w:val="16"/>
      <w:szCs w:val="16"/>
    </w:rPr>
  </w:style>
  <w:style w:type="table" w:styleId="MediumShading1-Accent1">
    <w:name w:val="Medium Shading 1 Accent 1"/>
    <w:basedOn w:val="TableNormal"/>
    <w:uiPriority w:val="63"/>
    <w:rsid w:val="00D63972"/>
    <w:rPr>
      <w:rFonts w:ascii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63972"/>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D6397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63972"/>
    <w:rPr>
      <w:rFonts w:asciiTheme="minorHAnsi" w:hAnsiTheme="minorHAnsi" w:cstheme="minorBidi"/>
      <w:sz w:val="22"/>
      <w:szCs w:val="22"/>
    </w:rPr>
  </w:style>
  <w:style w:type="paragraph" w:styleId="Footer">
    <w:name w:val="footer"/>
    <w:basedOn w:val="Normal"/>
    <w:link w:val="FooterChar"/>
    <w:uiPriority w:val="99"/>
    <w:unhideWhenUsed/>
    <w:rsid w:val="00D6397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63972"/>
    <w:rPr>
      <w:rFonts w:asciiTheme="minorHAnsi" w:hAnsiTheme="minorHAnsi" w:cstheme="minorBidi"/>
      <w:sz w:val="22"/>
      <w:szCs w:val="22"/>
    </w:rPr>
  </w:style>
  <w:style w:type="character" w:styleId="Hyperlink">
    <w:name w:val="Hyperlink"/>
    <w:basedOn w:val="DefaultParagraphFont"/>
    <w:uiPriority w:val="99"/>
    <w:unhideWhenUsed/>
    <w:rsid w:val="00D63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774">
      <w:bodyDiv w:val="1"/>
      <w:marLeft w:val="0"/>
      <w:marRight w:val="0"/>
      <w:marTop w:val="0"/>
      <w:marBottom w:val="0"/>
      <w:divBdr>
        <w:top w:val="none" w:sz="0" w:space="0" w:color="auto"/>
        <w:left w:val="none" w:sz="0" w:space="0" w:color="auto"/>
        <w:bottom w:val="none" w:sz="0" w:space="0" w:color="auto"/>
        <w:right w:val="none" w:sz="0" w:space="0" w:color="auto"/>
      </w:divBdr>
    </w:div>
    <w:div w:id="452555291">
      <w:bodyDiv w:val="1"/>
      <w:marLeft w:val="0"/>
      <w:marRight w:val="0"/>
      <w:marTop w:val="0"/>
      <w:marBottom w:val="0"/>
      <w:divBdr>
        <w:top w:val="none" w:sz="0" w:space="0" w:color="auto"/>
        <w:left w:val="none" w:sz="0" w:space="0" w:color="auto"/>
        <w:bottom w:val="none" w:sz="0" w:space="0" w:color="auto"/>
        <w:right w:val="none" w:sz="0" w:space="0" w:color="auto"/>
      </w:divBdr>
    </w:div>
    <w:div w:id="641430067">
      <w:bodyDiv w:val="1"/>
      <w:marLeft w:val="0"/>
      <w:marRight w:val="0"/>
      <w:marTop w:val="0"/>
      <w:marBottom w:val="0"/>
      <w:divBdr>
        <w:top w:val="none" w:sz="0" w:space="0" w:color="auto"/>
        <w:left w:val="none" w:sz="0" w:space="0" w:color="auto"/>
        <w:bottom w:val="none" w:sz="0" w:space="0" w:color="auto"/>
        <w:right w:val="none" w:sz="0" w:space="0" w:color="auto"/>
      </w:divBdr>
    </w:div>
    <w:div w:id="1182088017">
      <w:bodyDiv w:val="1"/>
      <w:marLeft w:val="0"/>
      <w:marRight w:val="0"/>
      <w:marTop w:val="0"/>
      <w:marBottom w:val="0"/>
      <w:divBdr>
        <w:top w:val="none" w:sz="0" w:space="0" w:color="auto"/>
        <w:left w:val="none" w:sz="0" w:space="0" w:color="auto"/>
        <w:bottom w:val="none" w:sz="0" w:space="0" w:color="auto"/>
        <w:right w:val="none" w:sz="0" w:space="0" w:color="auto"/>
      </w:divBdr>
    </w:div>
    <w:div w:id="18127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isbe.net/PEAC/pdf/guidance/13-3-dist-dec-making.pdf" TargetMode="External"/><Relationship Id="rId3" Type="http://schemas.openxmlformats.org/officeDocument/2006/relationships/settings" Target="settings.xml"/><Relationship Id="rId21" Type="http://schemas.openxmlformats.org/officeDocument/2006/relationships/hyperlink" Target="http://www.jcsee.org/standards-development" TargetMode="Externa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hyperlink" Target="http://www.isbe.net/PEAC" TargetMode="External"/><Relationship Id="rId2" Type="http://schemas.openxmlformats.org/officeDocument/2006/relationships/styles" Target="styles.xml"/><Relationship Id="rId16" Type="http://schemas.openxmlformats.org/officeDocument/2006/relationships/hyperlink" Target="http://www.isbe.state.il.us/rules/archive/pdfs/50ARK.pdf" TargetMode="External"/><Relationship Id="rId20" Type="http://schemas.openxmlformats.org/officeDocument/2006/relationships/hyperlink" Target="http://www.isbe.state.il.us/assessment/htmls/balanced-asm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be.net/PEAC/pdf/student-growth-component-guidebook.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be.state.il.us/assessment/htmls/balanced-asmt.htm" TargetMode="External"/><Relationship Id="rId23" Type="http://schemas.openxmlformats.org/officeDocument/2006/relationships/fontTable" Target="fontTable.xml"/><Relationship Id="rId10" Type="http://schemas.openxmlformats.org/officeDocument/2006/relationships/hyperlink" Target="http://www.isbe.net/PEAC/pdf/guidance/13-3-dist-dec-making.pdf" TargetMode="External"/><Relationship Id="rId19" Type="http://schemas.openxmlformats.org/officeDocument/2006/relationships/hyperlink" Target="http://www.isbe.net/PEAC/pdf/student-growth-component-guidebook.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www.ccsso.org/Resources/Publications/A_Practitioners_Guide_to_Growth_Mod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Zaleski</dc:creator>
  <cp:lastModifiedBy>Suzy Dees</cp:lastModifiedBy>
  <cp:revision>2</cp:revision>
  <cp:lastPrinted>2014-05-22T18:42:00Z</cp:lastPrinted>
  <dcterms:created xsi:type="dcterms:W3CDTF">2015-09-11T19:54:00Z</dcterms:created>
  <dcterms:modified xsi:type="dcterms:W3CDTF">2015-09-11T19:54:00Z</dcterms:modified>
</cp:coreProperties>
</file>