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1BF0" w14:textId="77777777" w:rsidR="00683698" w:rsidRPr="00164A7F" w:rsidRDefault="00246AC0" w:rsidP="00164A7F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164A7F">
        <w:rPr>
          <w:b/>
          <w:sz w:val="28"/>
        </w:rPr>
        <w:t xml:space="preserve">Writing </w:t>
      </w:r>
      <w:r w:rsidR="00067CEF">
        <w:rPr>
          <w:b/>
          <w:sz w:val="28"/>
        </w:rPr>
        <w:t>To Read</w:t>
      </w:r>
      <w:r w:rsidRPr="00164A7F">
        <w:rPr>
          <w:b/>
          <w:sz w:val="28"/>
        </w:rPr>
        <w:t xml:space="preserve"> Facilitator Guide</w:t>
      </w:r>
      <w:r w:rsidR="00F75786" w:rsidRPr="00164A7F">
        <w:rPr>
          <w:b/>
          <w:sz w:val="28"/>
        </w:rPr>
        <w:t xml:space="preserve"> for </w:t>
      </w:r>
      <w:r w:rsidR="00A60E4E" w:rsidRPr="00164A7F">
        <w:rPr>
          <w:b/>
          <w:sz w:val="28"/>
        </w:rPr>
        <w:t>K-12</w:t>
      </w:r>
    </w:p>
    <w:p w14:paraId="1BE198E9" w14:textId="0B8123D6" w:rsidR="001F65D8" w:rsidRPr="00705883" w:rsidRDefault="00EC494E" w:rsidP="00164A7F">
      <w:pPr>
        <w:pStyle w:val="NoSpacing"/>
      </w:pPr>
      <w:r w:rsidRPr="00705883">
        <w:t>Participant Outcomes</w:t>
      </w:r>
      <w:r w:rsidR="0003581C" w:rsidRPr="00705883">
        <w:t>:</w:t>
      </w:r>
    </w:p>
    <w:p w14:paraId="38B3EA80" w14:textId="77777777" w:rsidR="00436DAB" w:rsidRPr="00705883" w:rsidRDefault="00436DAB" w:rsidP="00436DAB">
      <w:pPr>
        <w:pStyle w:val="NoSpacing"/>
        <w:numPr>
          <w:ilvl w:val="0"/>
          <w:numId w:val="6"/>
        </w:numPr>
      </w:pPr>
      <w:r w:rsidRPr="00705883">
        <w:t>Articulate the three recommended writing practices to enhance students’ reading.</w:t>
      </w:r>
    </w:p>
    <w:p w14:paraId="693811C1" w14:textId="77777777" w:rsidR="00436DAB" w:rsidRPr="00705883" w:rsidRDefault="00436DAB" w:rsidP="00436DAB">
      <w:pPr>
        <w:pStyle w:val="NoSpacing"/>
        <w:numPr>
          <w:ilvl w:val="0"/>
          <w:numId w:val="6"/>
        </w:numPr>
      </w:pPr>
      <w:r w:rsidRPr="00705883">
        <w:t>Identify strategies aligned with each recommended practice.</w:t>
      </w:r>
    </w:p>
    <w:p w14:paraId="270E107A" w14:textId="025CDDBA" w:rsidR="00246AC0" w:rsidRPr="00705883" w:rsidRDefault="00436DAB" w:rsidP="00436DAB">
      <w:pPr>
        <w:pStyle w:val="NoSpacing"/>
        <w:numPr>
          <w:ilvl w:val="0"/>
          <w:numId w:val="6"/>
        </w:numPr>
      </w:pPr>
      <w:r w:rsidRPr="00705883">
        <w:t>Identify components of the recommended practices that match P</w:t>
      </w:r>
      <w:r w:rsidR="00070E85" w:rsidRPr="00705883">
        <w:t xml:space="preserve">ARCC writing tasks and use this </w:t>
      </w:r>
      <w:r w:rsidRPr="00705883">
        <w:t>information to design classroom tasks.</w:t>
      </w:r>
      <w:r w:rsidR="00070E85" w:rsidRPr="00705883">
        <w:t xml:space="preserve">  (These work well for the SAT Assessment as well classroom tasks.)</w:t>
      </w:r>
    </w:p>
    <w:p w14:paraId="619AD95B" w14:textId="3FB2E856" w:rsidR="00436DAB" w:rsidRPr="00705883" w:rsidRDefault="00436DAB" w:rsidP="00436DAB">
      <w:pPr>
        <w:pStyle w:val="NoSpacing"/>
        <w:numPr>
          <w:ilvl w:val="0"/>
          <w:numId w:val="6"/>
        </w:numPr>
      </w:pPr>
      <w:r w:rsidRPr="00705883">
        <w:t>Compose a classroom task that aligns with the Writing to Read research, Standards and PARCC</w:t>
      </w:r>
      <w:r w:rsidR="00070E85" w:rsidRPr="00705883">
        <w:t>/SAT</w:t>
      </w:r>
      <w:r w:rsidRPr="00705883">
        <w:t xml:space="preserve"> expectations.</w:t>
      </w:r>
    </w:p>
    <w:p w14:paraId="0C916B60" w14:textId="77777777" w:rsidR="00436DAB" w:rsidRPr="00705883" w:rsidRDefault="00436DAB" w:rsidP="00436DAB">
      <w:pPr>
        <w:pStyle w:val="NoSpacing"/>
        <w:numPr>
          <w:ilvl w:val="0"/>
          <w:numId w:val="6"/>
        </w:numPr>
      </w:pPr>
      <w:r w:rsidRPr="00705883">
        <w:t>Locate resources to help with implementation of “writing to read” practices.</w:t>
      </w:r>
    </w:p>
    <w:p w14:paraId="7402AA78" w14:textId="7AC65AC0" w:rsidR="000E6826" w:rsidRPr="00705883" w:rsidRDefault="000E6826" w:rsidP="000E6826">
      <w:pPr>
        <w:pStyle w:val="NoSpacing"/>
      </w:pPr>
      <w:r w:rsidRPr="00705883">
        <w:t>Learning Forward Standards:</w:t>
      </w:r>
    </w:p>
    <w:p w14:paraId="2F85402E" w14:textId="77777777" w:rsidR="000E6826" w:rsidRPr="00705883" w:rsidRDefault="000E6826" w:rsidP="000E6826">
      <w:pPr>
        <w:pStyle w:val="NoSpacing"/>
        <w:numPr>
          <w:ilvl w:val="0"/>
          <w:numId w:val="15"/>
        </w:numPr>
      </w:pPr>
      <w:r w:rsidRPr="00705883">
        <w:t>Implementation: Professional learning that increases educator effectiveness and results for all students applies research on change and sustains support for implementation of professional learning for long-term change.</w:t>
      </w:r>
    </w:p>
    <w:p w14:paraId="708D60C5" w14:textId="304A04CD" w:rsidR="000E6826" w:rsidRPr="00705883" w:rsidRDefault="000E6826" w:rsidP="000E6826">
      <w:pPr>
        <w:pStyle w:val="NoSpacing"/>
        <w:numPr>
          <w:ilvl w:val="0"/>
          <w:numId w:val="15"/>
        </w:numPr>
      </w:pPr>
      <w:r w:rsidRPr="00705883">
        <w:t>Resources: Professional learning that increases educator effectiveness and results for all students requires prioritizing, monitoring, and coordinating resources for educator learning.</w:t>
      </w:r>
    </w:p>
    <w:p w14:paraId="22A6E9EA" w14:textId="76328E37" w:rsidR="000E6826" w:rsidRPr="004E6A83" w:rsidRDefault="004E6A83" w:rsidP="004E6A83">
      <w:pPr>
        <w:pStyle w:val="NoSpacing"/>
        <w:ind w:left="360"/>
        <w:jc w:val="center"/>
        <w:rPr>
          <w:b/>
          <w:color w:val="FF0000"/>
          <w:sz w:val="24"/>
        </w:rPr>
      </w:pPr>
      <w:r w:rsidRPr="004E6A83">
        <w:rPr>
          <w:b/>
          <w:color w:val="FF0000"/>
          <w:sz w:val="24"/>
        </w:rPr>
        <w:t>Changes on the FG from the original are in red.</w:t>
      </w:r>
    </w:p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852"/>
        <w:gridCol w:w="3829"/>
        <w:gridCol w:w="5039"/>
        <w:gridCol w:w="1530"/>
      </w:tblGrid>
      <w:tr w:rsidR="00A8619D" w:rsidRPr="00892B19" w14:paraId="702E8B1F" w14:textId="77777777" w:rsidTr="00B0015D">
        <w:tc>
          <w:tcPr>
            <w:tcW w:w="850" w:type="dxa"/>
            <w:shd w:val="clear" w:color="auto" w:fill="EEECE1" w:themeFill="background2"/>
          </w:tcPr>
          <w:p w14:paraId="41D10A42" w14:textId="77777777" w:rsidR="00A8619D" w:rsidRPr="00892B19" w:rsidRDefault="00D11498" w:rsidP="00A8619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92B19">
              <w:rPr>
                <w:b/>
                <w:sz w:val="28"/>
                <w:szCs w:val="28"/>
              </w:rPr>
              <w:t>S</w:t>
            </w:r>
            <w:r w:rsidR="00F75786" w:rsidRPr="00892B19">
              <w:rPr>
                <w:b/>
                <w:sz w:val="28"/>
                <w:szCs w:val="28"/>
              </w:rPr>
              <w:t>lide</w:t>
            </w:r>
          </w:p>
        </w:tc>
        <w:tc>
          <w:tcPr>
            <w:tcW w:w="3830" w:type="dxa"/>
            <w:shd w:val="clear" w:color="auto" w:fill="EEECE1" w:themeFill="background2"/>
          </w:tcPr>
          <w:p w14:paraId="0B834B4A" w14:textId="77777777" w:rsidR="00A8619D" w:rsidRPr="00892B19" w:rsidRDefault="00A8619D" w:rsidP="00A8619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92B19">
              <w:rPr>
                <w:b/>
                <w:sz w:val="28"/>
                <w:szCs w:val="28"/>
              </w:rPr>
              <w:t>Procedure</w:t>
            </w:r>
          </w:p>
        </w:tc>
        <w:tc>
          <w:tcPr>
            <w:tcW w:w="5040" w:type="dxa"/>
            <w:shd w:val="clear" w:color="auto" w:fill="EEECE1" w:themeFill="background2"/>
          </w:tcPr>
          <w:p w14:paraId="46EC0A08" w14:textId="46DF1099" w:rsidR="00A8619D" w:rsidRPr="00892B19" w:rsidRDefault="00A8619D" w:rsidP="00A8619D">
            <w:pPr>
              <w:jc w:val="center"/>
              <w:rPr>
                <w:b/>
                <w:sz w:val="28"/>
                <w:szCs w:val="28"/>
              </w:rPr>
            </w:pPr>
            <w:r w:rsidRPr="00892B19">
              <w:rPr>
                <w:b/>
                <w:sz w:val="28"/>
                <w:szCs w:val="28"/>
              </w:rPr>
              <w:t>Materials</w:t>
            </w:r>
            <w:r w:rsidR="0003581C">
              <w:rPr>
                <w:b/>
                <w:sz w:val="28"/>
                <w:szCs w:val="28"/>
              </w:rPr>
              <w:t>/Notes</w:t>
            </w:r>
          </w:p>
        </w:tc>
        <w:tc>
          <w:tcPr>
            <w:tcW w:w="1530" w:type="dxa"/>
            <w:shd w:val="clear" w:color="auto" w:fill="EEECE1" w:themeFill="background2"/>
          </w:tcPr>
          <w:p w14:paraId="6849BEED" w14:textId="77777777" w:rsidR="00A8619D" w:rsidRPr="00892B19" w:rsidRDefault="00A8619D" w:rsidP="00A8619D">
            <w:pPr>
              <w:jc w:val="center"/>
              <w:rPr>
                <w:b/>
                <w:sz w:val="28"/>
                <w:szCs w:val="28"/>
              </w:rPr>
            </w:pPr>
            <w:r w:rsidRPr="00892B19">
              <w:rPr>
                <w:b/>
                <w:sz w:val="28"/>
                <w:szCs w:val="28"/>
              </w:rPr>
              <w:t>Time</w:t>
            </w:r>
          </w:p>
        </w:tc>
      </w:tr>
      <w:tr w:rsidR="007D16A3" w14:paraId="2ED856C8" w14:textId="77777777" w:rsidTr="000E6826">
        <w:tc>
          <w:tcPr>
            <w:tcW w:w="850" w:type="dxa"/>
            <w:shd w:val="clear" w:color="auto" w:fill="FFFFFF" w:themeFill="background1"/>
          </w:tcPr>
          <w:p w14:paraId="449C1C39" w14:textId="02FE925B" w:rsidR="000E6826" w:rsidRDefault="008416F3" w:rsidP="00A8619D">
            <w:pPr>
              <w:jc w:val="center"/>
            </w:pPr>
            <w:r>
              <w:t>1</w:t>
            </w:r>
            <w:r w:rsidR="00436DAB">
              <w:t>-2</w:t>
            </w:r>
          </w:p>
          <w:p w14:paraId="476D0610" w14:textId="6F739668" w:rsidR="00BD2887" w:rsidRPr="00BD2887" w:rsidRDefault="00BD2887" w:rsidP="00A8619D">
            <w:pPr>
              <w:jc w:val="center"/>
              <w:rPr>
                <w:sz w:val="18"/>
                <w:szCs w:val="16"/>
              </w:rPr>
            </w:pPr>
            <w:r w:rsidRPr="00BD2887">
              <w:rPr>
                <w:sz w:val="18"/>
                <w:szCs w:val="16"/>
              </w:rPr>
              <w:t>(Hidden)</w:t>
            </w:r>
          </w:p>
          <w:p w14:paraId="7B416973" w14:textId="17774A0F" w:rsidR="000E6826" w:rsidRDefault="000E6826" w:rsidP="000E6826"/>
          <w:p w14:paraId="5660CD6E" w14:textId="77777777" w:rsidR="007D16A3" w:rsidRPr="000E6826" w:rsidRDefault="007D16A3" w:rsidP="000E6826"/>
        </w:tc>
        <w:tc>
          <w:tcPr>
            <w:tcW w:w="3830" w:type="dxa"/>
          </w:tcPr>
          <w:p w14:paraId="33F38934" w14:textId="27553D3C" w:rsidR="007D16A3" w:rsidRPr="009857B5" w:rsidRDefault="00A67F28" w:rsidP="00C32D1D">
            <w:pPr>
              <w:rPr>
                <w:sz w:val="20"/>
              </w:rPr>
            </w:pPr>
            <w:r w:rsidRPr="009857B5">
              <w:rPr>
                <w:sz w:val="20"/>
              </w:rPr>
              <w:t>Decide on Audience and materials needed for presentation.</w:t>
            </w:r>
            <w:r w:rsidR="00333064" w:rsidRPr="009857B5">
              <w:rPr>
                <w:sz w:val="20"/>
              </w:rPr>
              <w:t xml:space="preserve">  HIDE any slides that may not be applicable to grade levels you may be presenting to</w:t>
            </w:r>
            <w:r w:rsidR="005920DF" w:rsidRPr="009857B5">
              <w:rPr>
                <w:sz w:val="20"/>
              </w:rPr>
              <w:t xml:space="preserve"> or optional activities you do not want to do</w:t>
            </w:r>
            <w:r w:rsidR="00333064" w:rsidRPr="009857B5">
              <w:rPr>
                <w:sz w:val="20"/>
              </w:rPr>
              <w:t xml:space="preserve">. </w:t>
            </w:r>
          </w:p>
          <w:p w14:paraId="20E36935" w14:textId="77777777" w:rsidR="00333064" w:rsidRPr="009857B5" w:rsidRDefault="00333064" w:rsidP="00C32D1D">
            <w:pPr>
              <w:rPr>
                <w:i/>
                <w:sz w:val="20"/>
              </w:rPr>
            </w:pPr>
            <w:r w:rsidRPr="009857B5">
              <w:rPr>
                <w:i/>
                <w:sz w:val="20"/>
              </w:rPr>
              <w:t xml:space="preserve">Check all links to verify they are working. </w:t>
            </w:r>
          </w:p>
        </w:tc>
        <w:tc>
          <w:tcPr>
            <w:tcW w:w="5040" w:type="dxa"/>
          </w:tcPr>
          <w:p w14:paraId="4F47DD83" w14:textId="77777777" w:rsidR="007D16A3" w:rsidRPr="009857B5" w:rsidRDefault="008416F3" w:rsidP="00C32D1D">
            <w:pPr>
              <w:rPr>
                <w:sz w:val="20"/>
              </w:rPr>
            </w:pPr>
            <w:r w:rsidRPr="009857B5">
              <w:rPr>
                <w:sz w:val="20"/>
              </w:rPr>
              <w:t xml:space="preserve">The following handouts can be provided at the beginning:  </w:t>
            </w:r>
          </w:p>
          <w:p w14:paraId="1309BA77" w14:textId="77777777" w:rsidR="00A67F28" w:rsidRPr="009857B5" w:rsidRDefault="00A67F28" w:rsidP="00A67F2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9857B5">
              <w:rPr>
                <w:sz w:val="20"/>
              </w:rPr>
              <w:t>Writing to Read Research (Full or synopsis)</w:t>
            </w:r>
          </w:p>
          <w:p w14:paraId="73EE88DE" w14:textId="77777777" w:rsidR="00C55FE0" w:rsidRPr="009857B5" w:rsidRDefault="00BA1941" w:rsidP="00BA1941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9857B5">
              <w:rPr>
                <w:sz w:val="20"/>
              </w:rPr>
              <w:t>Determine how to distribute handouts:</w:t>
            </w:r>
          </w:p>
          <w:p w14:paraId="47AC745A" w14:textId="77777777" w:rsidR="00BA1941" w:rsidRPr="009857B5" w:rsidRDefault="00BA1941" w:rsidP="00BA1941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9857B5">
              <w:rPr>
                <w:sz w:val="20"/>
              </w:rPr>
              <w:t>Place in folder</w:t>
            </w:r>
          </w:p>
          <w:p w14:paraId="6503419F" w14:textId="77777777" w:rsidR="00BA1941" w:rsidRPr="009857B5" w:rsidRDefault="00BA1941" w:rsidP="00BA1941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9857B5">
              <w:rPr>
                <w:sz w:val="20"/>
              </w:rPr>
              <w:t>Picked up by participants</w:t>
            </w:r>
          </w:p>
          <w:p w14:paraId="774332D4" w14:textId="48F95FCE" w:rsidR="00BA1941" w:rsidRPr="009857B5" w:rsidRDefault="00BA1941" w:rsidP="00BA1941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9857B5">
              <w:rPr>
                <w:sz w:val="20"/>
              </w:rPr>
              <w:t>Combination of both</w:t>
            </w:r>
          </w:p>
        </w:tc>
        <w:tc>
          <w:tcPr>
            <w:tcW w:w="1530" w:type="dxa"/>
          </w:tcPr>
          <w:p w14:paraId="6801F9C8" w14:textId="54AC0B77" w:rsidR="007D16A3" w:rsidRDefault="00BA1941" w:rsidP="00C32D1D">
            <w:pPr>
              <w:jc w:val="center"/>
            </w:pPr>
            <w:r>
              <w:t>All times are estimates.</w:t>
            </w:r>
          </w:p>
        </w:tc>
      </w:tr>
      <w:tr w:rsidR="007D16A3" w14:paraId="18E6BA7F" w14:textId="77777777" w:rsidTr="00EE6764">
        <w:tc>
          <w:tcPr>
            <w:tcW w:w="850" w:type="dxa"/>
            <w:shd w:val="clear" w:color="auto" w:fill="EEECE1" w:themeFill="background2"/>
          </w:tcPr>
          <w:p w14:paraId="3C860A6D" w14:textId="0A6DBBCB" w:rsidR="007D16A3" w:rsidRPr="00F75786" w:rsidRDefault="00A67F28" w:rsidP="000A4824">
            <w:pPr>
              <w:jc w:val="center"/>
            </w:pPr>
            <w:r>
              <w:t>3</w:t>
            </w:r>
          </w:p>
        </w:tc>
        <w:tc>
          <w:tcPr>
            <w:tcW w:w="3830" w:type="dxa"/>
            <w:shd w:val="clear" w:color="auto" w:fill="EEECE1" w:themeFill="background2"/>
          </w:tcPr>
          <w:p w14:paraId="7D4AD448" w14:textId="77777777" w:rsidR="007D16A3" w:rsidRPr="009857B5" w:rsidRDefault="00A67F28" w:rsidP="008416F3">
            <w:pPr>
              <w:rPr>
                <w:sz w:val="20"/>
              </w:rPr>
            </w:pPr>
            <w:r w:rsidRPr="009857B5">
              <w:rPr>
                <w:sz w:val="20"/>
              </w:rPr>
              <w:t>Welcome and Introductions</w:t>
            </w:r>
          </w:p>
        </w:tc>
        <w:tc>
          <w:tcPr>
            <w:tcW w:w="5040" w:type="dxa"/>
            <w:shd w:val="clear" w:color="auto" w:fill="EEECE1" w:themeFill="background2"/>
          </w:tcPr>
          <w:p w14:paraId="3ABEC272" w14:textId="77777777" w:rsidR="00A67F28" w:rsidRPr="009857B5" w:rsidRDefault="00A67F28" w:rsidP="000805C5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14:paraId="433665A8" w14:textId="77777777" w:rsidR="007D16A3" w:rsidRDefault="00F81DFF" w:rsidP="00A8619D">
            <w:pPr>
              <w:jc w:val="center"/>
            </w:pPr>
            <w:r>
              <w:t>5</w:t>
            </w:r>
          </w:p>
        </w:tc>
      </w:tr>
      <w:tr w:rsidR="008416F3" w14:paraId="5889182E" w14:textId="77777777" w:rsidTr="000E6826">
        <w:tc>
          <w:tcPr>
            <w:tcW w:w="850" w:type="dxa"/>
            <w:shd w:val="clear" w:color="auto" w:fill="FFFFFF" w:themeFill="background1"/>
          </w:tcPr>
          <w:p w14:paraId="668D5328" w14:textId="77777777" w:rsidR="008416F3" w:rsidRDefault="00A67F28" w:rsidP="000A4824">
            <w:pPr>
              <w:jc w:val="center"/>
            </w:pPr>
            <w:r>
              <w:t>4-6</w:t>
            </w:r>
          </w:p>
        </w:tc>
        <w:tc>
          <w:tcPr>
            <w:tcW w:w="3830" w:type="dxa"/>
          </w:tcPr>
          <w:p w14:paraId="23A88D5C" w14:textId="3FD46481" w:rsidR="008416F3" w:rsidRPr="009857B5" w:rsidRDefault="0003581C" w:rsidP="00D11498">
            <w:pPr>
              <w:rPr>
                <w:sz w:val="20"/>
              </w:rPr>
            </w:pPr>
            <w:r w:rsidRPr="009857B5">
              <w:rPr>
                <w:sz w:val="20"/>
              </w:rPr>
              <w:t xml:space="preserve">4- Discuss Agenda </w:t>
            </w:r>
          </w:p>
          <w:p w14:paraId="4CE8C064" w14:textId="657A3F03" w:rsidR="0003581C" w:rsidRPr="009857B5" w:rsidRDefault="0003581C" w:rsidP="00D11498">
            <w:pPr>
              <w:rPr>
                <w:sz w:val="20"/>
              </w:rPr>
            </w:pPr>
            <w:r w:rsidRPr="009857B5">
              <w:rPr>
                <w:sz w:val="20"/>
              </w:rPr>
              <w:t>5- Outcomes (Pre Test)</w:t>
            </w:r>
          </w:p>
          <w:p w14:paraId="56BC0823" w14:textId="5AED5F8A" w:rsidR="0003581C" w:rsidRPr="009857B5" w:rsidRDefault="0003581C" w:rsidP="00D11498">
            <w:pPr>
              <w:rPr>
                <w:sz w:val="20"/>
              </w:rPr>
            </w:pPr>
            <w:r w:rsidRPr="009857B5">
              <w:rPr>
                <w:sz w:val="20"/>
              </w:rPr>
              <w:t>6- Learning Forward Standards</w:t>
            </w:r>
          </w:p>
        </w:tc>
        <w:tc>
          <w:tcPr>
            <w:tcW w:w="5040" w:type="dxa"/>
          </w:tcPr>
          <w:p w14:paraId="49EAB1EC" w14:textId="77777777" w:rsidR="0003581C" w:rsidRPr="009857B5" w:rsidRDefault="0003581C" w:rsidP="000805C5">
            <w:pPr>
              <w:rPr>
                <w:sz w:val="20"/>
              </w:rPr>
            </w:pPr>
            <w:r w:rsidRPr="009857B5">
              <w:rPr>
                <w:sz w:val="20"/>
              </w:rPr>
              <w:t xml:space="preserve">Determine </w:t>
            </w:r>
            <w:r w:rsidR="00A67F28" w:rsidRPr="009857B5">
              <w:rPr>
                <w:sz w:val="20"/>
              </w:rPr>
              <w:t>age</w:t>
            </w:r>
            <w:r w:rsidRPr="009857B5">
              <w:rPr>
                <w:sz w:val="20"/>
              </w:rPr>
              <w:t xml:space="preserve">nda and workshop length </w:t>
            </w:r>
            <w:r w:rsidR="00F9458E" w:rsidRPr="009857B5">
              <w:rPr>
                <w:sz w:val="20"/>
              </w:rPr>
              <w:t>based on time constraints</w:t>
            </w:r>
            <w:r w:rsidR="00EC376A" w:rsidRPr="009857B5">
              <w:rPr>
                <w:sz w:val="20"/>
              </w:rPr>
              <w:t xml:space="preserve"> (Half-da</w:t>
            </w:r>
            <w:r w:rsidRPr="009857B5">
              <w:rPr>
                <w:sz w:val="20"/>
              </w:rPr>
              <w:t>y, full day, after school, etc.)</w:t>
            </w:r>
          </w:p>
          <w:p w14:paraId="0691020E" w14:textId="31A75498" w:rsidR="0003581C" w:rsidRPr="009857B5" w:rsidRDefault="001C5165" w:rsidP="000805C5">
            <w:pPr>
              <w:rPr>
                <w:sz w:val="20"/>
              </w:rPr>
            </w:pPr>
            <w:r>
              <w:rPr>
                <w:sz w:val="20"/>
              </w:rPr>
              <w:t>Hand out Pret</w:t>
            </w:r>
            <w:r w:rsidR="0003581C" w:rsidRPr="009857B5">
              <w:rPr>
                <w:sz w:val="20"/>
              </w:rPr>
              <w:t>est for participants to fill out.</w:t>
            </w:r>
          </w:p>
        </w:tc>
        <w:tc>
          <w:tcPr>
            <w:tcW w:w="1530" w:type="dxa"/>
          </w:tcPr>
          <w:p w14:paraId="040896AD" w14:textId="77777777" w:rsidR="008416F3" w:rsidRDefault="00A67F28" w:rsidP="00A8619D">
            <w:pPr>
              <w:jc w:val="center"/>
            </w:pPr>
            <w:r>
              <w:t>3</w:t>
            </w:r>
          </w:p>
        </w:tc>
      </w:tr>
      <w:tr w:rsidR="000A4824" w14:paraId="053A9904" w14:textId="77777777" w:rsidTr="00EE6764">
        <w:tc>
          <w:tcPr>
            <w:tcW w:w="850" w:type="dxa"/>
            <w:shd w:val="clear" w:color="auto" w:fill="EEECE1" w:themeFill="background2"/>
          </w:tcPr>
          <w:p w14:paraId="1E71726E" w14:textId="1443B899" w:rsidR="000A4824" w:rsidRDefault="00A24D1E" w:rsidP="00F81DFF">
            <w:pPr>
              <w:jc w:val="center"/>
            </w:pPr>
            <w:r>
              <w:t>7</w:t>
            </w:r>
          </w:p>
        </w:tc>
        <w:tc>
          <w:tcPr>
            <w:tcW w:w="3830" w:type="dxa"/>
            <w:shd w:val="clear" w:color="auto" w:fill="EEECE1" w:themeFill="background2"/>
          </w:tcPr>
          <w:p w14:paraId="013FB803" w14:textId="768C959F" w:rsidR="000A4824" w:rsidRPr="009857B5" w:rsidRDefault="00A67F28" w:rsidP="00D11498">
            <w:pPr>
              <w:rPr>
                <w:sz w:val="20"/>
              </w:rPr>
            </w:pPr>
            <w:r w:rsidRPr="009857B5">
              <w:rPr>
                <w:sz w:val="20"/>
              </w:rPr>
              <w:t>Make connection to prior Foundation Services</w:t>
            </w:r>
            <w:r w:rsidR="0003581C" w:rsidRPr="009857B5">
              <w:rPr>
                <w:sz w:val="20"/>
              </w:rPr>
              <w:t xml:space="preserve"> Trainings</w:t>
            </w:r>
          </w:p>
        </w:tc>
        <w:tc>
          <w:tcPr>
            <w:tcW w:w="5040" w:type="dxa"/>
            <w:shd w:val="clear" w:color="auto" w:fill="EEECE1" w:themeFill="background2"/>
          </w:tcPr>
          <w:p w14:paraId="0482FA99" w14:textId="77777777" w:rsidR="000A4824" w:rsidRPr="009857B5" w:rsidRDefault="000A4824" w:rsidP="000805C5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14:paraId="2FD47934" w14:textId="77777777" w:rsidR="000A4824" w:rsidRDefault="00A67F28" w:rsidP="00A8619D">
            <w:pPr>
              <w:jc w:val="center"/>
            </w:pPr>
            <w:r>
              <w:t>2</w:t>
            </w:r>
          </w:p>
        </w:tc>
      </w:tr>
      <w:tr w:rsidR="00F81DFF" w14:paraId="200FE2C2" w14:textId="77777777" w:rsidTr="000E6826">
        <w:tc>
          <w:tcPr>
            <w:tcW w:w="850" w:type="dxa"/>
            <w:shd w:val="clear" w:color="auto" w:fill="FFFFFF" w:themeFill="background1"/>
          </w:tcPr>
          <w:p w14:paraId="340CEFD4" w14:textId="54D9C238" w:rsidR="00F81DFF" w:rsidRDefault="00A24D1E" w:rsidP="000A4824">
            <w:pPr>
              <w:jc w:val="center"/>
            </w:pPr>
            <w:r>
              <w:t>8</w:t>
            </w:r>
          </w:p>
        </w:tc>
        <w:tc>
          <w:tcPr>
            <w:tcW w:w="3830" w:type="dxa"/>
          </w:tcPr>
          <w:p w14:paraId="6F597124" w14:textId="0A54DF03" w:rsidR="00F81DFF" w:rsidRPr="009857B5" w:rsidRDefault="00A67F28" w:rsidP="00D11498">
            <w:pPr>
              <w:rPr>
                <w:sz w:val="20"/>
              </w:rPr>
            </w:pPr>
            <w:r w:rsidRPr="009857B5">
              <w:rPr>
                <w:sz w:val="20"/>
              </w:rPr>
              <w:t>Cause for Concern</w:t>
            </w:r>
          </w:p>
        </w:tc>
        <w:tc>
          <w:tcPr>
            <w:tcW w:w="5040" w:type="dxa"/>
          </w:tcPr>
          <w:p w14:paraId="55566175" w14:textId="4D87F4D3" w:rsidR="00F81DFF" w:rsidRPr="009857B5" w:rsidRDefault="0003581C" w:rsidP="00A24D1E">
            <w:pPr>
              <w:rPr>
                <w:sz w:val="20"/>
              </w:rPr>
            </w:pPr>
            <w:r w:rsidRPr="00070E85">
              <w:rPr>
                <w:i/>
                <w:sz w:val="20"/>
              </w:rPr>
              <w:t>Literacy Is Critical</w:t>
            </w:r>
            <w:r w:rsidRPr="009857B5">
              <w:rPr>
                <w:sz w:val="20"/>
              </w:rPr>
              <w:t xml:space="preserve"> is an </w:t>
            </w:r>
            <w:r w:rsidR="009A530D" w:rsidRPr="009857B5">
              <w:rPr>
                <w:sz w:val="20"/>
              </w:rPr>
              <w:t xml:space="preserve">optional handout—see slide </w:t>
            </w:r>
            <w:r w:rsidR="00A24D1E" w:rsidRPr="009857B5">
              <w:rPr>
                <w:sz w:val="20"/>
              </w:rPr>
              <w:t>8</w:t>
            </w:r>
            <w:r w:rsidR="009A530D" w:rsidRPr="009857B5">
              <w:rPr>
                <w:sz w:val="20"/>
              </w:rPr>
              <w:t xml:space="preserve"> notes</w:t>
            </w:r>
          </w:p>
        </w:tc>
        <w:tc>
          <w:tcPr>
            <w:tcW w:w="1530" w:type="dxa"/>
          </w:tcPr>
          <w:p w14:paraId="6DE5B2F9" w14:textId="77777777" w:rsidR="00F81DFF" w:rsidRDefault="009A530D" w:rsidP="00A8619D">
            <w:pPr>
              <w:jc w:val="center"/>
            </w:pPr>
            <w:r>
              <w:t>5</w:t>
            </w:r>
          </w:p>
        </w:tc>
      </w:tr>
      <w:tr w:rsidR="007D16A3" w14:paraId="4FFD618D" w14:textId="77777777" w:rsidTr="00EE6764">
        <w:tc>
          <w:tcPr>
            <w:tcW w:w="850" w:type="dxa"/>
            <w:shd w:val="clear" w:color="auto" w:fill="EEECE1" w:themeFill="background2"/>
          </w:tcPr>
          <w:p w14:paraId="1C7B0053" w14:textId="49AC03DF" w:rsidR="007D16A3" w:rsidRPr="00F75786" w:rsidRDefault="00952A77" w:rsidP="002A75A0">
            <w:pPr>
              <w:jc w:val="center"/>
            </w:pPr>
            <w:r>
              <w:t>9</w:t>
            </w:r>
            <w:r w:rsidR="00E75B58">
              <w:t>-1</w:t>
            </w:r>
            <w:r w:rsidR="002A75A0">
              <w:t>6</w:t>
            </w:r>
          </w:p>
        </w:tc>
        <w:tc>
          <w:tcPr>
            <w:tcW w:w="3830" w:type="dxa"/>
            <w:shd w:val="clear" w:color="auto" w:fill="EEECE1" w:themeFill="background2"/>
          </w:tcPr>
          <w:p w14:paraId="7C444B18" w14:textId="77777777" w:rsidR="007D16A3" w:rsidRDefault="009A530D" w:rsidP="00D11498">
            <w:pPr>
              <w:rPr>
                <w:sz w:val="20"/>
              </w:rPr>
            </w:pPr>
            <w:r w:rsidRPr="009857B5">
              <w:rPr>
                <w:sz w:val="20"/>
              </w:rPr>
              <w:t>Share Writing to Read Research</w:t>
            </w:r>
          </w:p>
          <w:p w14:paraId="00B22F0D" w14:textId="77777777" w:rsidR="00BD2887" w:rsidRDefault="00BD2887" w:rsidP="00D11498">
            <w:pPr>
              <w:rPr>
                <w:b/>
                <w:sz w:val="20"/>
              </w:rPr>
            </w:pPr>
          </w:p>
          <w:p w14:paraId="3F6092CB" w14:textId="77777777" w:rsidR="00BD2887" w:rsidRPr="00BD2887" w:rsidRDefault="00BD2887" w:rsidP="00D11498">
            <w:pPr>
              <w:rPr>
                <w:b/>
                <w:sz w:val="20"/>
              </w:rPr>
            </w:pPr>
            <w:r w:rsidRPr="00BD2887">
              <w:rPr>
                <w:b/>
                <w:sz w:val="20"/>
              </w:rPr>
              <w:t>Optional Activity</w:t>
            </w:r>
          </w:p>
          <w:p w14:paraId="35C82D72" w14:textId="57B91064" w:rsidR="00BD2887" w:rsidRPr="009857B5" w:rsidRDefault="00BD2887" w:rsidP="00D11498">
            <w:pPr>
              <w:rPr>
                <w:sz w:val="20"/>
              </w:rPr>
            </w:pPr>
            <w:r>
              <w:rPr>
                <w:sz w:val="20"/>
              </w:rPr>
              <w:t>Slide 11 – Review synopsis – see notes</w:t>
            </w:r>
          </w:p>
        </w:tc>
        <w:tc>
          <w:tcPr>
            <w:tcW w:w="5040" w:type="dxa"/>
            <w:shd w:val="clear" w:color="auto" w:fill="EEECE1" w:themeFill="background2"/>
          </w:tcPr>
          <w:p w14:paraId="6D44CF57" w14:textId="1E13E4FC" w:rsidR="00BD2887" w:rsidRDefault="00BD2887" w:rsidP="00892B19">
            <w:pPr>
              <w:rPr>
                <w:sz w:val="20"/>
              </w:rPr>
            </w:pPr>
            <w:r w:rsidRPr="009857B5">
              <w:rPr>
                <w:sz w:val="20"/>
              </w:rPr>
              <w:t>Show video clip</w:t>
            </w:r>
          </w:p>
          <w:p w14:paraId="5B843838" w14:textId="5BDE7819" w:rsidR="007D16A3" w:rsidRPr="009857B5" w:rsidRDefault="009A530D" w:rsidP="00892B19">
            <w:pPr>
              <w:rPr>
                <w:sz w:val="20"/>
              </w:rPr>
            </w:pPr>
            <w:r w:rsidRPr="009857B5">
              <w:rPr>
                <w:sz w:val="20"/>
              </w:rPr>
              <w:t>Synopsis</w:t>
            </w:r>
            <w:r w:rsidR="0003581C" w:rsidRPr="009857B5">
              <w:rPr>
                <w:sz w:val="20"/>
              </w:rPr>
              <w:t xml:space="preserve"> of Writing to Read Report</w:t>
            </w:r>
          </w:p>
          <w:p w14:paraId="7A6D92F5" w14:textId="71B69F0C" w:rsidR="00FC520E" w:rsidRPr="009857B5" w:rsidRDefault="00FC520E" w:rsidP="0003581C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14:paraId="58ABC04E" w14:textId="77777777" w:rsidR="007D16A3" w:rsidRDefault="00E75B58" w:rsidP="00F41A49">
            <w:pPr>
              <w:jc w:val="center"/>
            </w:pPr>
            <w:r>
              <w:t>8</w:t>
            </w:r>
          </w:p>
        </w:tc>
      </w:tr>
      <w:tr w:rsidR="007D16A3" w14:paraId="5A3BA5D9" w14:textId="77777777" w:rsidTr="000E6826">
        <w:tc>
          <w:tcPr>
            <w:tcW w:w="850" w:type="dxa"/>
            <w:shd w:val="clear" w:color="auto" w:fill="FFFFFF" w:themeFill="background1"/>
          </w:tcPr>
          <w:p w14:paraId="469449AB" w14:textId="59828645" w:rsidR="007D16A3" w:rsidRPr="000A4824" w:rsidRDefault="00E75B58" w:rsidP="002A75A0">
            <w:pPr>
              <w:jc w:val="center"/>
            </w:pPr>
            <w:r>
              <w:t>1</w:t>
            </w:r>
            <w:r w:rsidR="002A75A0">
              <w:t>7</w:t>
            </w:r>
            <w:r w:rsidR="00E902A5">
              <w:t>-19</w:t>
            </w:r>
          </w:p>
        </w:tc>
        <w:tc>
          <w:tcPr>
            <w:tcW w:w="3830" w:type="dxa"/>
          </w:tcPr>
          <w:p w14:paraId="7E70155B" w14:textId="77777777" w:rsidR="007D16A3" w:rsidRDefault="00E902A5" w:rsidP="00BD2887">
            <w:pPr>
              <w:rPr>
                <w:sz w:val="20"/>
              </w:rPr>
            </w:pPr>
            <w:r w:rsidRPr="00E902A5">
              <w:rPr>
                <w:b/>
                <w:sz w:val="20"/>
              </w:rPr>
              <w:t>Slide 17</w:t>
            </w:r>
            <w:r>
              <w:rPr>
                <w:sz w:val="20"/>
              </w:rPr>
              <w:t xml:space="preserve"> - Share writing recommendations</w:t>
            </w:r>
          </w:p>
          <w:p w14:paraId="6207C4B0" w14:textId="77777777" w:rsidR="00E902A5" w:rsidRDefault="00E902A5" w:rsidP="00BD2887">
            <w:pPr>
              <w:rPr>
                <w:sz w:val="20"/>
              </w:rPr>
            </w:pPr>
            <w:r w:rsidRPr="00E902A5">
              <w:rPr>
                <w:b/>
                <w:sz w:val="20"/>
              </w:rPr>
              <w:t>Slide 18</w:t>
            </w:r>
            <w:r>
              <w:rPr>
                <w:sz w:val="20"/>
              </w:rPr>
              <w:t xml:space="preserve"> – Share recommendations and practices</w:t>
            </w:r>
          </w:p>
          <w:p w14:paraId="41DB1118" w14:textId="7DB59538" w:rsidR="00E902A5" w:rsidRPr="009857B5" w:rsidRDefault="00E902A5" w:rsidP="00BD2887">
            <w:pPr>
              <w:rPr>
                <w:sz w:val="20"/>
              </w:rPr>
            </w:pPr>
            <w:r w:rsidRPr="00E902A5">
              <w:rPr>
                <w:b/>
                <w:sz w:val="20"/>
              </w:rPr>
              <w:t>Slide 19</w:t>
            </w:r>
            <w:r>
              <w:rPr>
                <w:b/>
                <w:sz w:val="20"/>
              </w:rPr>
              <w:t xml:space="preserve"> </w:t>
            </w:r>
            <w:r w:rsidR="00C0240A">
              <w:rPr>
                <w:sz w:val="20"/>
              </w:rPr>
              <w:t xml:space="preserve">- </w:t>
            </w:r>
            <w:r>
              <w:rPr>
                <w:sz w:val="20"/>
              </w:rPr>
              <w:t>Ask participants to get a writing utensil for the activity that will show the effect sizes of the recommended practices.</w:t>
            </w:r>
          </w:p>
        </w:tc>
        <w:tc>
          <w:tcPr>
            <w:tcW w:w="5040" w:type="dxa"/>
          </w:tcPr>
          <w:p w14:paraId="24CE600C" w14:textId="0A6FB977" w:rsidR="00E902A5" w:rsidRPr="00E902A5" w:rsidRDefault="00770C97" w:rsidP="00E902A5">
            <w:pPr>
              <w:rPr>
                <w:sz w:val="20"/>
              </w:rPr>
            </w:pPr>
            <w:r>
              <w:rPr>
                <w:sz w:val="20"/>
              </w:rPr>
              <w:t xml:space="preserve">Highlighters or writing utensil </w:t>
            </w:r>
            <w:r w:rsidR="00E902A5" w:rsidRPr="00E902A5">
              <w:rPr>
                <w:sz w:val="20"/>
              </w:rPr>
              <w:t>participants ca</w:t>
            </w:r>
            <w:r>
              <w:rPr>
                <w:sz w:val="20"/>
              </w:rPr>
              <w:t>n use to draw colored lines</w:t>
            </w:r>
          </w:p>
          <w:p w14:paraId="018A377A" w14:textId="77777777" w:rsidR="00677A9F" w:rsidRPr="00BD2887" w:rsidRDefault="00677A9F" w:rsidP="00BD2887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2E7F06FB" w14:textId="6BA868A4" w:rsidR="007D16A3" w:rsidRDefault="00E902A5" w:rsidP="00F41A49">
            <w:pPr>
              <w:jc w:val="center"/>
            </w:pPr>
            <w:r>
              <w:t>5</w:t>
            </w:r>
          </w:p>
        </w:tc>
      </w:tr>
      <w:tr w:rsidR="00BD2887" w14:paraId="3EDE97CE" w14:textId="77777777" w:rsidTr="000E6826">
        <w:tc>
          <w:tcPr>
            <w:tcW w:w="850" w:type="dxa"/>
            <w:shd w:val="clear" w:color="auto" w:fill="FFFFFF" w:themeFill="background1"/>
          </w:tcPr>
          <w:p w14:paraId="60C15019" w14:textId="5F117D96" w:rsidR="00BD2887" w:rsidRDefault="00BD2887" w:rsidP="00BD2887">
            <w:pPr>
              <w:jc w:val="center"/>
            </w:pPr>
            <w:r>
              <w:t>20</w:t>
            </w:r>
          </w:p>
        </w:tc>
        <w:tc>
          <w:tcPr>
            <w:tcW w:w="3830" w:type="dxa"/>
          </w:tcPr>
          <w:p w14:paraId="52980FAC" w14:textId="77777777" w:rsidR="00BD2887" w:rsidRDefault="00BD2887" w:rsidP="000A4824">
            <w:pPr>
              <w:rPr>
                <w:sz w:val="20"/>
              </w:rPr>
            </w:pPr>
            <w:r w:rsidRPr="00E902A5">
              <w:rPr>
                <w:b/>
                <w:sz w:val="20"/>
              </w:rPr>
              <w:t>Before the 2</w:t>
            </w:r>
            <w:r w:rsidRPr="00E902A5">
              <w:rPr>
                <w:b/>
                <w:sz w:val="20"/>
                <w:vertAlign w:val="superscript"/>
              </w:rPr>
              <w:t>nd</w:t>
            </w:r>
            <w:r w:rsidRPr="00E902A5">
              <w:rPr>
                <w:b/>
                <w:sz w:val="20"/>
              </w:rPr>
              <w:t xml:space="preserve"> click</w:t>
            </w:r>
            <w:r>
              <w:rPr>
                <w:sz w:val="20"/>
              </w:rPr>
              <w:t>, ask participants to mark on their slide the effect sizes:</w:t>
            </w:r>
          </w:p>
          <w:p w14:paraId="2ACB8F8A" w14:textId="77777777" w:rsidR="00BD2887" w:rsidRDefault="00BD2887" w:rsidP="00BD2887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heavy line for most effective,</w:t>
            </w:r>
          </w:p>
          <w:p w14:paraId="0385B77F" w14:textId="77777777" w:rsidR="00BD2887" w:rsidRDefault="00BD2887" w:rsidP="00BD2887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BD2887">
              <w:rPr>
                <w:sz w:val="20"/>
              </w:rPr>
              <w:t xml:space="preserve">mildly heavy line for mostly effective and </w:t>
            </w:r>
          </w:p>
          <w:p w14:paraId="392B0364" w14:textId="77777777" w:rsidR="00BD2887" w:rsidRDefault="00BD2887" w:rsidP="00BD2887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BD2887">
              <w:rPr>
                <w:sz w:val="20"/>
              </w:rPr>
              <w:t>a thin line to show effective.</w:t>
            </w:r>
            <w:r>
              <w:rPr>
                <w:sz w:val="20"/>
              </w:rPr>
              <w:t xml:space="preserve"> </w:t>
            </w:r>
          </w:p>
          <w:p w14:paraId="732ABA9A" w14:textId="288EE7D1" w:rsidR="00BD2887" w:rsidRPr="00BD2887" w:rsidRDefault="00BD2887" w:rsidP="00BD2887">
            <w:pPr>
              <w:rPr>
                <w:sz w:val="20"/>
              </w:rPr>
            </w:pPr>
            <w:r>
              <w:rPr>
                <w:sz w:val="20"/>
              </w:rPr>
              <w:t>Click to r</w:t>
            </w:r>
            <w:r w:rsidRPr="00BD2887">
              <w:rPr>
                <w:sz w:val="20"/>
              </w:rPr>
              <w:t>eveal the answers when complete.</w:t>
            </w:r>
          </w:p>
        </w:tc>
        <w:tc>
          <w:tcPr>
            <w:tcW w:w="5040" w:type="dxa"/>
          </w:tcPr>
          <w:p w14:paraId="0A2CE16F" w14:textId="77777777" w:rsidR="00BD2887" w:rsidRPr="009857B5" w:rsidRDefault="00BD2887" w:rsidP="00BD2887">
            <w:pPr>
              <w:rPr>
                <w:sz w:val="20"/>
              </w:rPr>
            </w:pPr>
            <w:r w:rsidRPr="009857B5">
              <w:rPr>
                <w:sz w:val="20"/>
              </w:rPr>
              <w:t>Handouts referred to:</w:t>
            </w:r>
          </w:p>
          <w:p w14:paraId="76D1083B" w14:textId="77777777" w:rsidR="00BD2887" w:rsidRPr="009857B5" w:rsidRDefault="00BD2887" w:rsidP="00BD288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857B5">
              <w:rPr>
                <w:sz w:val="20"/>
              </w:rPr>
              <w:t>Slides 18 &amp; 20</w:t>
            </w:r>
          </w:p>
          <w:p w14:paraId="494598E3" w14:textId="77777777" w:rsidR="00BD2887" w:rsidRPr="00E902A5" w:rsidRDefault="00BD2887" w:rsidP="00E902A5">
            <w:pPr>
              <w:ind w:left="360"/>
              <w:rPr>
                <w:sz w:val="20"/>
              </w:rPr>
            </w:pPr>
          </w:p>
        </w:tc>
        <w:tc>
          <w:tcPr>
            <w:tcW w:w="1530" w:type="dxa"/>
          </w:tcPr>
          <w:p w14:paraId="0E070885" w14:textId="36C33E42" w:rsidR="00BD2887" w:rsidRDefault="00E902A5" w:rsidP="00F41A49">
            <w:pPr>
              <w:jc w:val="center"/>
            </w:pPr>
            <w:r>
              <w:t>5</w:t>
            </w:r>
          </w:p>
        </w:tc>
      </w:tr>
    </w:tbl>
    <w:p w14:paraId="5E12CD20" w14:textId="422DDDF5" w:rsidR="000E6826" w:rsidRDefault="000E6826">
      <w:r>
        <w:br w:type="page"/>
      </w:r>
    </w:p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850"/>
        <w:gridCol w:w="3830"/>
        <w:gridCol w:w="5040"/>
        <w:gridCol w:w="1530"/>
      </w:tblGrid>
      <w:tr w:rsidR="000E6826" w14:paraId="2FBCF724" w14:textId="77777777" w:rsidTr="00EE6764">
        <w:tc>
          <w:tcPr>
            <w:tcW w:w="850" w:type="dxa"/>
            <w:shd w:val="clear" w:color="auto" w:fill="EEECE1" w:themeFill="background2"/>
          </w:tcPr>
          <w:p w14:paraId="26DC4270" w14:textId="38C3E70B" w:rsidR="000E6826" w:rsidRDefault="000E6826" w:rsidP="00A8619D">
            <w:pPr>
              <w:jc w:val="center"/>
            </w:pPr>
            <w:r w:rsidRPr="00892B19">
              <w:rPr>
                <w:b/>
                <w:sz w:val="28"/>
                <w:szCs w:val="28"/>
              </w:rPr>
              <w:lastRenderedPageBreak/>
              <w:t>Slide</w:t>
            </w:r>
          </w:p>
        </w:tc>
        <w:tc>
          <w:tcPr>
            <w:tcW w:w="3830" w:type="dxa"/>
            <w:shd w:val="clear" w:color="auto" w:fill="EEECE1" w:themeFill="background2"/>
          </w:tcPr>
          <w:p w14:paraId="6AED928F" w14:textId="4E835F25" w:rsidR="000E6826" w:rsidRDefault="000E6826" w:rsidP="000A4824">
            <w:r w:rsidRPr="00892B19">
              <w:rPr>
                <w:b/>
                <w:sz w:val="28"/>
                <w:szCs w:val="28"/>
              </w:rPr>
              <w:t>Procedure</w:t>
            </w:r>
          </w:p>
        </w:tc>
        <w:tc>
          <w:tcPr>
            <w:tcW w:w="5040" w:type="dxa"/>
            <w:shd w:val="clear" w:color="auto" w:fill="EEECE1" w:themeFill="background2"/>
          </w:tcPr>
          <w:p w14:paraId="371C69EB" w14:textId="20E5F997" w:rsidR="000E6826" w:rsidRDefault="000E6826" w:rsidP="00F75786">
            <w:r w:rsidRPr="00892B19">
              <w:rPr>
                <w:b/>
                <w:sz w:val="28"/>
                <w:szCs w:val="28"/>
              </w:rPr>
              <w:t>Materials</w:t>
            </w:r>
          </w:p>
        </w:tc>
        <w:tc>
          <w:tcPr>
            <w:tcW w:w="1530" w:type="dxa"/>
            <w:shd w:val="clear" w:color="auto" w:fill="EEECE1" w:themeFill="background2"/>
          </w:tcPr>
          <w:p w14:paraId="58181A7C" w14:textId="31A4E5F4" w:rsidR="000E6826" w:rsidRDefault="000E6826" w:rsidP="00F41A49">
            <w:pPr>
              <w:jc w:val="center"/>
            </w:pPr>
            <w:r w:rsidRPr="00892B19">
              <w:rPr>
                <w:b/>
                <w:sz w:val="28"/>
                <w:szCs w:val="28"/>
              </w:rPr>
              <w:t>Time</w:t>
            </w:r>
          </w:p>
        </w:tc>
      </w:tr>
      <w:tr w:rsidR="000E6826" w14:paraId="71871B40" w14:textId="77777777" w:rsidTr="000E6826">
        <w:tc>
          <w:tcPr>
            <w:tcW w:w="850" w:type="dxa"/>
            <w:shd w:val="clear" w:color="auto" w:fill="FFFFFF" w:themeFill="background1"/>
          </w:tcPr>
          <w:p w14:paraId="3D5652EE" w14:textId="24C0CD94" w:rsidR="000E6826" w:rsidRPr="009857B5" w:rsidRDefault="00B8699F" w:rsidP="00A8619D">
            <w:pPr>
              <w:jc w:val="center"/>
              <w:rPr>
                <w:sz w:val="20"/>
              </w:rPr>
            </w:pPr>
            <w:r w:rsidRPr="009857B5">
              <w:rPr>
                <w:sz w:val="20"/>
              </w:rPr>
              <w:t>21</w:t>
            </w:r>
            <w:r w:rsidR="009857B5">
              <w:rPr>
                <w:sz w:val="20"/>
              </w:rPr>
              <w:t>-81</w:t>
            </w:r>
          </w:p>
        </w:tc>
        <w:tc>
          <w:tcPr>
            <w:tcW w:w="3830" w:type="dxa"/>
            <w:shd w:val="clear" w:color="auto" w:fill="FFFFFF" w:themeFill="background1"/>
          </w:tcPr>
          <w:p w14:paraId="572251A5" w14:textId="185E6FE0" w:rsidR="00B63FE2" w:rsidRPr="009857B5" w:rsidRDefault="009857B5" w:rsidP="000A4824">
            <w:pPr>
              <w:rPr>
                <w:sz w:val="20"/>
              </w:rPr>
            </w:pPr>
            <w:r>
              <w:rPr>
                <w:sz w:val="20"/>
              </w:rPr>
              <w:t>See notes on each slide.</w:t>
            </w:r>
          </w:p>
          <w:p w14:paraId="00072C66" w14:textId="79F6B392" w:rsidR="00FC520E" w:rsidRPr="009857B5" w:rsidRDefault="009857B5" w:rsidP="000A48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Suggested </w:t>
            </w:r>
            <w:r w:rsidR="00FC520E" w:rsidRPr="009857B5">
              <w:rPr>
                <w:b/>
                <w:sz w:val="20"/>
              </w:rPr>
              <w:t xml:space="preserve">Activities: </w:t>
            </w:r>
          </w:p>
          <w:p w14:paraId="05A402AC" w14:textId="7CB51D0B" w:rsidR="00FC520E" w:rsidRPr="009857B5" w:rsidRDefault="001A569D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Slide 56</w:t>
            </w:r>
            <w:r w:rsidRPr="009857B5">
              <w:rPr>
                <w:sz w:val="20"/>
              </w:rPr>
              <w:t>—Text Structures Handout—review and discuss</w:t>
            </w:r>
          </w:p>
          <w:p w14:paraId="587372BD" w14:textId="6607794C" w:rsidR="00721514" w:rsidRPr="009857B5" w:rsidRDefault="001A569D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Slide 61—</w:t>
            </w:r>
            <w:r w:rsidRPr="009857B5">
              <w:rPr>
                <w:sz w:val="20"/>
              </w:rPr>
              <w:t xml:space="preserve">Sentence </w:t>
            </w:r>
            <w:r w:rsidR="00F36F81" w:rsidRPr="009857B5">
              <w:rPr>
                <w:sz w:val="20"/>
              </w:rPr>
              <w:t xml:space="preserve">construction on slides 62 </w:t>
            </w:r>
            <w:r w:rsidR="00F36F81" w:rsidRPr="00BD2887">
              <w:rPr>
                <w:b/>
                <w:sz w:val="20"/>
              </w:rPr>
              <w:t>OR</w:t>
            </w:r>
            <w:r w:rsidR="00F36F81" w:rsidRPr="009857B5">
              <w:rPr>
                <w:sz w:val="20"/>
              </w:rPr>
              <w:t xml:space="preserve"> 63</w:t>
            </w:r>
          </w:p>
          <w:p w14:paraId="47AED5D6" w14:textId="77777777" w:rsidR="009857B5" w:rsidRPr="00416728" w:rsidRDefault="009857B5" w:rsidP="000A4824">
            <w:pPr>
              <w:rPr>
                <w:sz w:val="4"/>
              </w:rPr>
            </w:pPr>
          </w:p>
          <w:p w14:paraId="3F58737C" w14:textId="24035AAB" w:rsidR="00DA4182" w:rsidRPr="009857B5" w:rsidRDefault="009857B5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O</w:t>
            </w:r>
            <w:r w:rsidR="00B63FE2" w:rsidRPr="009857B5">
              <w:rPr>
                <w:b/>
                <w:sz w:val="20"/>
              </w:rPr>
              <w:t>ptional activities</w:t>
            </w:r>
            <w:r w:rsidR="00B63FE2" w:rsidRPr="009857B5">
              <w:rPr>
                <w:sz w:val="20"/>
              </w:rPr>
              <w:t xml:space="preserve"> </w:t>
            </w:r>
          </w:p>
          <w:p w14:paraId="50EE1FBD" w14:textId="4D4F04C1" w:rsidR="00DA4182" w:rsidRPr="009857B5" w:rsidRDefault="00DA4182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Slide 2</w:t>
            </w:r>
            <w:r w:rsidR="00FC520E" w:rsidRPr="009857B5">
              <w:rPr>
                <w:b/>
                <w:sz w:val="20"/>
              </w:rPr>
              <w:t>7</w:t>
            </w:r>
            <w:r w:rsidRPr="009857B5">
              <w:rPr>
                <w:sz w:val="20"/>
              </w:rPr>
              <w:t xml:space="preserve"> – Activity with Explicit Instruct/Scaffold Handout</w:t>
            </w:r>
          </w:p>
          <w:p w14:paraId="7ADC8F57" w14:textId="27CBF2FB" w:rsidR="00DA4182" w:rsidRPr="009857B5" w:rsidRDefault="00E902A5" w:rsidP="000A482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Slide 31 - </w:t>
            </w:r>
            <w:r w:rsidR="00EC494E">
              <w:rPr>
                <w:sz w:val="20"/>
              </w:rPr>
              <w:t xml:space="preserve">Turn and Talk- </w:t>
            </w:r>
            <w:r w:rsidR="00FC520E" w:rsidRPr="009857B5">
              <w:rPr>
                <w:sz w:val="20"/>
              </w:rPr>
              <w:t>summarizing skills</w:t>
            </w:r>
          </w:p>
          <w:p w14:paraId="6482140D" w14:textId="49B2C069" w:rsidR="00DA4182" w:rsidRPr="009857B5" w:rsidRDefault="00DA4182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Slide 3</w:t>
            </w:r>
            <w:r w:rsidR="00FC520E" w:rsidRPr="009857B5">
              <w:rPr>
                <w:b/>
                <w:sz w:val="20"/>
              </w:rPr>
              <w:t>3</w:t>
            </w:r>
            <w:r w:rsidRPr="009857B5">
              <w:rPr>
                <w:sz w:val="20"/>
              </w:rPr>
              <w:t xml:space="preserve"> – Activity with </w:t>
            </w:r>
            <w:r w:rsidR="00B63FE2" w:rsidRPr="009857B5">
              <w:rPr>
                <w:sz w:val="20"/>
              </w:rPr>
              <w:t>Summarizing/Note taking Booklet</w:t>
            </w:r>
          </w:p>
          <w:p w14:paraId="164C8593" w14:textId="6AF6A3F4" w:rsidR="00FC520E" w:rsidRPr="009857B5" w:rsidRDefault="00721514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Slide 40</w:t>
            </w:r>
            <w:r w:rsidR="00FC520E" w:rsidRPr="009857B5">
              <w:rPr>
                <w:b/>
                <w:sz w:val="20"/>
              </w:rPr>
              <w:t>—</w:t>
            </w:r>
            <w:r w:rsidRPr="009857B5">
              <w:rPr>
                <w:sz w:val="20"/>
              </w:rPr>
              <w:t>Turn and Talk about note taking.</w:t>
            </w:r>
          </w:p>
          <w:p w14:paraId="12FCBDA8" w14:textId="7F78A570" w:rsidR="00721514" w:rsidRPr="009857B5" w:rsidRDefault="00721514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Slide 44</w:t>
            </w:r>
            <w:r w:rsidRPr="009857B5">
              <w:rPr>
                <w:sz w:val="20"/>
              </w:rPr>
              <w:t xml:space="preserve"> – Kinesthetic Note Taking Tools Basket Idea</w:t>
            </w:r>
          </w:p>
          <w:p w14:paraId="6DA912B0" w14:textId="7C4FEA2C" w:rsidR="00DA4182" w:rsidRPr="009857B5" w:rsidRDefault="00DA4182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Slide 4</w:t>
            </w:r>
            <w:r w:rsidR="001A569D" w:rsidRPr="009857B5">
              <w:rPr>
                <w:b/>
                <w:sz w:val="20"/>
              </w:rPr>
              <w:t>9</w:t>
            </w:r>
            <w:r w:rsidRPr="009857B5">
              <w:rPr>
                <w:sz w:val="20"/>
              </w:rPr>
              <w:t xml:space="preserve"> – Activity with “Modeling Creating Questions” handout. </w:t>
            </w:r>
          </w:p>
          <w:p w14:paraId="68A7F177" w14:textId="49D59305" w:rsidR="00DA4182" w:rsidRPr="009857B5" w:rsidRDefault="00DA4182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 xml:space="preserve">Slide </w:t>
            </w:r>
            <w:r w:rsidR="001A569D" w:rsidRPr="009857B5">
              <w:rPr>
                <w:b/>
                <w:sz w:val="20"/>
              </w:rPr>
              <w:t>5</w:t>
            </w:r>
            <w:r w:rsidRPr="009857B5">
              <w:rPr>
                <w:b/>
                <w:sz w:val="20"/>
              </w:rPr>
              <w:t>9</w:t>
            </w:r>
            <w:r w:rsidRPr="009857B5">
              <w:rPr>
                <w:sz w:val="20"/>
              </w:rPr>
              <w:t xml:space="preserve"> – Activity with website resource in notes.</w:t>
            </w:r>
          </w:p>
          <w:p w14:paraId="39AE505B" w14:textId="1589A4E6" w:rsidR="00B63FE2" w:rsidRPr="009857B5" w:rsidRDefault="00DA4182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 xml:space="preserve">Slide </w:t>
            </w:r>
            <w:r w:rsidR="00721514" w:rsidRPr="009857B5">
              <w:rPr>
                <w:b/>
                <w:sz w:val="20"/>
              </w:rPr>
              <w:t>73</w:t>
            </w:r>
            <w:r w:rsidR="00B63FE2" w:rsidRPr="009857B5">
              <w:rPr>
                <w:sz w:val="20"/>
              </w:rPr>
              <w:t xml:space="preserve"> – Activity with </w:t>
            </w:r>
            <w:r w:rsidR="00E902A5">
              <w:rPr>
                <w:sz w:val="20"/>
              </w:rPr>
              <w:t>“</w:t>
            </w:r>
            <w:r w:rsidR="00B63FE2" w:rsidRPr="009857B5">
              <w:rPr>
                <w:sz w:val="20"/>
              </w:rPr>
              <w:t>Why Teach Spelling</w:t>
            </w:r>
            <w:r w:rsidR="00E902A5">
              <w:rPr>
                <w:sz w:val="20"/>
              </w:rPr>
              <w:t>”</w:t>
            </w:r>
            <w:r w:rsidR="00B63FE2" w:rsidRPr="009857B5">
              <w:rPr>
                <w:sz w:val="20"/>
              </w:rPr>
              <w:t xml:space="preserve"> – see notes.</w:t>
            </w:r>
          </w:p>
          <w:p w14:paraId="3D30522F" w14:textId="77777777" w:rsidR="004C6F5F" w:rsidRDefault="00B63FE2" w:rsidP="0072151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Slide</w:t>
            </w:r>
            <w:r w:rsidR="00721514" w:rsidRPr="009857B5">
              <w:rPr>
                <w:b/>
                <w:sz w:val="20"/>
              </w:rPr>
              <w:t xml:space="preserve"> 77</w:t>
            </w:r>
            <w:r w:rsidRPr="009857B5">
              <w:rPr>
                <w:sz w:val="20"/>
              </w:rPr>
              <w:t>– Activ</w:t>
            </w:r>
            <w:r w:rsidR="005958F7">
              <w:rPr>
                <w:sz w:val="20"/>
              </w:rPr>
              <w:t>ity with “Instructional Writing Time</w:t>
            </w:r>
            <w:r w:rsidR="00721514" w:rsidRPr="009857B5">
              <w:rPr>
                <w:sz w:val="20"/>
              </w:rPr>
              <w:t>” Pamphlet</w:t>
            </w:r>
          </w:p>
          <w:p w14:paraId="33B85592" w14:textId="7AD8B474" w:rsidR="00EC494E" w:rsidRPr="00EC494E" w:rsidRDefault="00EC494E" w:rsidP="00721514">
            <w:r w:rsidRPr="00661FB5">
              <w:rPr>
                <w:b/>
                <w:sz w:val="20"/>
              </w:rPr>
              <w:t>Slide 80</w:t>
            </w:r>
            <w:r w:rsidRPr="00661FB5">
              <w:rPr>
                <w:sz w:val="20"/>
              </w:rPr>
              <w:t xml:space="preserve"> – Mike </w:t>
            </w:r>
            <w:proofErr w:type="spellStart"/>
            <w:r w:rsidRPr="00661FB5">
              <w:rPr>
                <w:sz w:val="20"/>
              </w:rPr>
              <w:t>Schmoker</w:t>
            </w:r>
            <w:proofErr w:type="spellEnd"/>
            <w:r w:rsidRPr="00661FB5">
              <w:rPr>
                <w:sz w:val="20"/>
              </w:rPr>
              <w:t>/ Kel</w:t>
            </w:r>
            <w:r w:rsidR="00E902A5" w:rsidRPr="00661FB5">
              <w:rPr>
                <w:sz w:val="20"/>
              </w:rPr>
              <w:t>ly Gallagher grading writing</w:t>
            </w:r>
            <w:r w:rsidRPr="00661FB5">
              <w:rPr>
                <w:sz w:val="20"/>
              </w:rPr>
              <w:t>– see notes.</w:t>
            </w:r>
          </w:p>
        </w:tc>
        <w:tc>
          <w:tcPr>
            <w:tcW w:w="5040" w:type="dxa"/>
            <w:shd w:val="clear" w:color="auto" w:fill="FFFFFF" w:themeFill="background1"/>
          </w:tcPr>
          <w:p w14:paraId="2FA30DF2" w14:textId="467FA687" w:rsidR="00FC520E" w:rsidRPr="009857B5" w:rsidRDefault="000E6826" w:rsidP="00B8699F">
            <w:pPr>
              <w:rPr>
                <w:sz w:val="20"/>
              </w:rPr>
            </w:pPr>
            <w:r w:rsidRPr="009857B5">
              <w:rPr>
                <w:sz w:val="20"/>
              </w:rPr>
              <w:t>Handouts referred to:</w:t>
            </w:r>
          </w:p>
          <w:p w14:paraId="5AA31921" w14:textId="5F16E38B" w:rsidR="00B63FE2" w:rsidRPr="009857B5" w:rsidRDefault="000E6826" w:rsidP="00DC318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857B5">
              <w:rPr>
                <w:sz w:val="20"/>
              </w:rPr>
              <w:t>E</w:t>
            </w:r>
            <w:r w:rsidR="00DA4182" w:rsidRPr="009857B5">
              <w:rPr>
                <w:sz w:val="20"/>
              </w:rPr>
              <w:t>xplicit Instruct./</w:t>
            </w:r>
            <w:r w:rsidR="00B8699F" w:rsidRPr="009857B5">
              <w:rPr>
                <w:sz w:val="20"/>
              </w:rPr>
              <w:t>Scaffolding Guide</w:t>
            </w:r>
            <w:r w:rsidRPr="009857B5">
              <w:rPr>
                <w:sz w:val="20"/>
              </w:rPr>
              <w:t xml:space="preserve"> (Slide 2</w:t>
            </w:r>
            <w:r w:rsidR="00437FB1">
              <w:rPr>
                <w:sz w:val="20"/>
              </w:rPr>
              <w:t>6</w:t>
            </w:r>
            <w:r w:rsidRPr="009857B5">
              <w:rPr>
                <w:sz w:val="20"/>
              </w:rPr>
              <w:t>)</w:t>
            </w:r>
          </w:p>
          <w:p w14:paraId="3E08004C" w14:textId="1E2E9456" w:rsidR="00B63FE2" w:rsidRPr="009857B5" w:rsidRDefault="00DA4182" w:rsidP="00B63FE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857B5">
              <w:rPr>
                <w:sz w:val="20"/>
              </w:rPr>
              <w:t>Summarize/Note Taking</w:t>
            </w:r>
            <w:r w:rsidR="000E6826" w:rsidRPr="009857B5">
              <w:rPr>
                <w:sz w:val="20"/>
              </w:rPr>
              <w:t xml:space="preserve"> Strategies (Slide </w:t>
            </w:r>
            <w:r w:rsidR="00437FB1">
              <w:rPr>
                <w:sz w:val="20"/>
              </w:rPr>
              <w:t>32)</w:t>
            </w:r>
          </w:p>
          <w:p w14:paraId="1E597441" w14:textId="21144CEA" w:rsidR="00B63FE2" w:rsidRPr="009857B5" w:rsidRDefault="000E6826" w:rsidP="00B63FE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857B5">
              <w:rPr>
                <w:sz w:val="20"/>
              </w:rPr>
              <w:t>Tulare Grade Level Standards (Slide 4</w:t>
            </w:r>
            <w:r w:rsidR="00B8699F" w:rsidRPr="009857B5">
              <w:rPr>
                <w:sz w:val="20"/>
              </w:rPr>
              <w:t>7</w:t>
            </w:r>
            <w:r w:rsidRPr="009857B5">
              <w:rPr>
                <w:sz w:val="20"/>
              </w:rPr>
              <w:t>)</w:t>
            </w:r>
          </w:p>
          <w:p w14:paraId="2A75DBEF" w14:textId="3B7228A9" w:rsidR="00B63FE2" w:rsidRPr="009857B5" w:rsidRDefault="000E6826" w:rsidP="00DC318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857B5">
              <w:rPr>
                <w:sz w:val="20"/>
              </w:rPr>
              <w:t>Guide to Creating Text Dependent Questions (Slide 4</w:t>
            </w:r>
            <w:r w:rsidR="00B8699F" w:rsidRPr="009857B5">
              <w:rPr>
                <w:sz w:val="20"/>
              </w:rPr>
              <w:t>7</w:t>
            </w:r>
            <w:r w:rsidRPr="009857B5">
              <w:rPr>
                <w:sz w:val="20"/>
              </w:rPr>
              <w:t xml:space="preserve">) </w:t>
            </w:r>
          </w:p>
          <w:p w14:paraId="47BCACB1" w14:textId="32919B71" w:rsidR="00B63FE2" w:rsidRPr="009857B5" w:rsidRDefault="00B63FE2" w:rsidP="00B63FE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857B5">
              <w:rPr>
                <w:sz w:val="20"/>
              </w:rPr>
              <w:t>“Modeling Creating Questions” Handout (Slide</w:t>
            </w:r>
            <w:r w:rsidR="001A569D" w:rsidRPr="009857B5">
              <w:rPr>
                <w:sz w:val="20"/>
              </w:rPr>
              <w:t xml:space="preserve"> </w:t>
            </w:r>
            <w:r w:rsidRPr="009857B5">
              <w:rPr>
                <w:sz w:val="20"/>
              </w:rPr>
              <w:t>4</w:t>
            </w:r>
            <w:r w:rsidR="00B8699F" w:rsidRPr="009857B5">
              <w:rPr>
                <w:sz w:val="20"/>
              </w:rPr>
              <w:t>9)</w:t>
            </w:r>
          </w:p>
          <w:p w14:paraId="75C673E4" w14:textId="45C1BF3C" w:rsidR="00B63FE2" w:rsidRDefault="00BD2887" w:rsidP="00B63FE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Tools for Learning</w:t>
            </w:r>
            <w:r w:rsidR="000E6826" w:rsidRPr="009857B5">
              <w:rPr>
                <w:sz w:val="20"/>
              </w:rPr>
              <w:t xml:space="preserve"> Handout </w:t>
            </w:r>
            <w:r w:rsidR="00EC494E">
              <w:rPr>
                <w:sz w:val="20"/>
              </w:rPr>
              <w:t xml:space="preserve">(Text Structure – Sue Beers) </w:t>
            </w:r>
            <w:r w:rsidR="000E6826" w:rsidRPr="009857B5">
              <w:rPr>
                <w:sz w:val="20"/>
              </w:rPr>
              <w:t xml:space="preserve">(Slide </w:t>
            </w:r>
            <w:r w:rsidR="00B8699F" w:rsidRPr="009857B5">
              <w:rPr>
                <w:sz w:val="20"/>
              </w:rPr>
              <w:t>56</w:t>
            </w:r>
            <w:r w:rsidR="000E6826" w:rsidRPr="009857B5">
              <w:rPr>
                <w:sz w:val="20"/>
              </w:rPr>
              <w:t>)</w:t>
            </w:r>
          </w:p>
          <w:p w14:paraId="2F9C270D" w14:textId="77777777" w:rsidR="00EC494E" w:rsidRPr="009857B5" w:rsidRDefault="00EC494E" w:rsidP="00EC494E">
            <w:pPr>
              <w:pStyle w:val="ListParagraph"/>
              <w:rPr>
                <w:sz w:val="20"/>
              </w:rPr>
            </w:pPr>
          </w:p>
          <w:p w14:paraId="62370719" w14:textId="7DD208B2" w:rsidR="000E6826" w:rsidRPr="009857B5" w:rsidRDefault="000E6826" w:rsidP="00EE676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857B5">
              <w:rPr>
                <w:sz w:val="20"/>
              </w:rPr>
              <w:t>Why Teach Spelling—</w:t>
            </w:r>
            <w:r w:rsidR="00EC494E">
              <w:rPr>
                <w:sz w:val="20"/>
              </w:rPr>
              <w:t>(Slide 72)</w:t>
            </w:r>
          </w:p>
          <w:p w14:paraId="47A47318" w14:textId="66DC5B85" w:rsidR="000E6826" w:rsidRPr="009857B5" w:rsidRDefault="000E6826" w:rsidP="00EC376A">
            <w:pPr>
              <w:pStyle w:val="ListParagraph"/>
              <w:rPr>
                <w:sz w:val="20"/>
              </w:rPr>
            </w:pPr>
            <w:r w:rsidRPr="009857B5">
              <w:rPr>
                <w:sz w:val="20"/>
              </w:rPr>
              <w:t xml:space="preserve">•Checklist for Evaluating a Spelling     </w:t>
            </w:r>
          </w:p>
          <w:p w14:paraId="06835768" w14:textId="3F47D560" w:rsidR="000E6826" w:rsidRPr="009857B5" w:rsidRDefault="000E6826" w:rsidP="00EC376A">
            <w:pPr>
              <w:pStyle w:val="ListParagraph"/>
              <w:rPr>
                <w:sz w:val="20"/>
              </w:rPr>
            </w:pPr>
            <w:r w:rsidRPr="009857B5">
              <w:rPr>
                <w:sz w:val="20"/>
              </w:rPr>
              <w:t xml:space="preserve">   program pgs. 36-38 </w:t>
            </w:r>
            <w:r w:rsidR="00EC494E">
              <w:rPr>
                <w:b/>
                <w:sz w:val="20"/>
              </w:rPr>
              <w:t>and/</w:t>
            </w:r>
            <w:r w:rsidRPr="00EC494E">
              <w:rPr>
                <w:b/>
                <w:sz w:val="20"/>
              </w:rPr>
              <w:t>or</w:t>
            </w:r>
          </w:p>
          <w:p w14:paraId="7BD81EC1" w14:textId="77777777" w:rsidR="000E6826" w:rsidRPr="009857B5" w:rsidRDefault="000E6826" w:rsidP="00EC376A">
            <w:pPr>
              <w:pStyle w:val="ListParagraph"/>
              <w:rPr>
                <w:sz w:val="20"/>
              </w:rPr>
            </w:pPr>
            <w:r w:rsidRPr="009857B5">
              <w:rPr>
                <w:sz w:val="20"/>
              </w:rPr>
              <w:t xml:space="preserve">•Table of CCSS linked to Spelling pg. 41-49 </w:t>
            </w:r>
          </w:p>
          <w:p w14:paraId="3F10A46C" w14:textId="33CA9565" w:rsidR="00DC318B" w:rsidRDefault="00EC494E" w:rsidP="004C6F5F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 (K- 12).</w:t>
            </w:r>
          </w:p>
          <w:p w14:paraId="7DA4A007" w14:textId="77777777" w:rsidR="00EC494E" w:rsidRPr="009857B5" w:rsidRDefault="00EC494E" w:rsidP="004C6F5F">
            <w:pPr>
              <w:pStyle w:val="ListParagraph"/>
              <w:rPr>
                <w:sz w:val="20"/>
              </w:rPr>
            </w:pPr>
          </w:p>
          <w:p w14:paraId="11097B1F" w14:textId="65192204" w:rsidR="00B63FE2" w:rsidRPr="009857B5" w:rsidRDefault="005B3448" w:rsidP="00DC318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857B5">
              <w:rPr>
                <w:sz w:val="20"/>
              </w:rPr>
              <w:t>Toolbox for Routine</w:t>
            </w:r>
            <w:r w:rsidR="00EC494E">
              <w:rPr>
                <w:sz w:val="20"/>
              </w:rPr>
              <w:t xml:space="preserve"> Writing Handout (Slide 76</w:t>
            </w:r>
            <w:r w:rsidR="000E6826" w:rsidRPr="009857B5">
              <w:rPr>
                <w:sz w:val="20"/>
              </w:rPr>
              <w:t>)</w:t>
            </w:r>
          </w:p>
          <w:p w14:paraId="2FF1C264" w14:textId="3FC20FCA" w:rsidR="000E6826" w:rsidRPr="009857B5" w:rsidRDefault="005958F7" w:rsidP="0087766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Instructional Writing</w:t>
            </w:r>
            <w:r w:rsidR="00EC494E">
              <w:rPr>
                <w:sz w:val="20"/>
              </w:rPr>
              <w:t xml:space="preserve"> Time Pamphlet (Slide 76</w:t>
            </w:r>
            <w:r w:rsidR="000E6826" w:rsidRPr="009857B5">
              <w:rPr>
                <w:sz w:val="20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14:paraId="68BB3903" w14:textId="77777777" w:rsidR="000E6826" w:rsidRDefault="000E6826" w:rsidP="00F41A49">
            <w:pPr>
              <w:jc w:val="center"/>
            </w:pPr>
            <w:r>
              <w:t>90</w:t>
            </w:r>
          </w:p>
        </w:tc>
      </w:tr>
      <w:tr w:rsidR="000E6826" w14:paraId="034E1804" w14:textId="77777777" w:rsidTr="00EC376A">
        <w:tc>
          <w:tcPr>
            <w:tcW w:w="850" w:type="dxa"/>
            <w:shd w:val="clear" w:color="auto" w:fill="EEECE1" w:themeFill="background2"/>
          </w:tcPr>
          <w:p w14:paraId="22DE5D0D" w14:textId="1F4EAF5E" w:rsidR="000E6826" w:rsidRDefault="004C6F5F" w:rsidP="00EE6764">
            <w:pPr>
              <w:jc w:val="center"/>
            </w:pPr>
            <w:r>
              <w:t>82-91</w:t>
            </w:r>
          </w:p>
          <w:p w14:paraId="672D6D6B" w14:textId="77777777" w:rsidR="000E6826" w:rsidRPr="000A4824" w:rsidRDefault="000E6826" w:rsidP="00EE6764">
            <w:pPr>
              <w:jc w:val="center"/>
            </w:pPr>
          </w:p>
        </w:tc>
        <w:tc>
          <w:tcPr>
            <w:tcW w:w="3830" w:type="dxa"/>
            <w:shd w:val="clear" w:color="auto" w:fill="EEECE1" w:themeFill="background2"/>
          </w:tcPr>
          <w:p w14:paraId="7C541008" w14:textId="2F773F76" w:rsidR="004C6F5F" w:rsidRPr="00437FB1" w:rsidRDefault="00EC494E" w:rsidP="007B7F91">
            <w:pPr>
              <w:rPr>
                <w:sz w:val="20"/>
              </w:rPr>
            </w:pPr>
            <w:r w:rsidRPr="00437FB1">
              <w:rPr>
                <w:sz w:val="20"/>
              </w:rPr>
              <w:t>Connections to PARCC - f</w:t>
            </w:r>
            <w:r w:rsidR="009857B5" w:rsidRPr="00437FB1">
              <w:rPr>
                <w:sz w:val="20"/>
              </w:rPr>
              <w:t>ollow notes.</w:t>
            </w:r>
          </w:p>
          <w:p w14:paraId="3A76EA3D" w14:textId="77777777" w:rsidR="00EC494E" w:rsidRPr="00416728" w:rsidRDefault="00EC494E" w:rsidP="007B7F91">
            <w:pPr>
              <w:rPr>
                <w:sz w:val="4"/>
              </w:rPr>
            </w:pPr>
          </w:p>
          <w:p w14:paraId="0E5100D0" w14:textId="3AA7CE11" w:rsidR="00EC494E" w:rsidRPr="00437FB1" w:rsidRDefault="00EC494E" w:rsidP="007B7F91">
            <w:pPr>
              <w:rPr>
                <w:b/>
                <w:sz w:val="20"/>
              </w:rPr>
            </w:pPr>
            <w:r w:rsidRPr="00437FB1">
              <w:rPr>
                <w:b/>
                <w:sz w:val="20"/>
              </w:rPr>
              <w:t>Suggested Activities:</w:t>
            </w:r>
          </w:p>
          <w:p w14:paraId="30310827" w14:textId="0FBADA2F" w:rsidR="00EC494E" w:rsidRPr="00437FB1" w:rsidRDefault="00EC494E" w:rsidP="007B7F91">
            <w:pPr>
              <w:rPr>
                <w:sz w:val="20"/>
              </w:rPr>
            </w:pPr>
            <w:r w:rsidRPr="00437FB1">
              <w:rPr>
                <w:b/>
                <w:sz w:val="20"/>
              </w:rPr>
              <w:t>Slide 86</w:t>
            </w:r>
            <w:r w:rsidRPr="00437FB1">
              <w:rPr>
                <w:sz w:val="20"/>
              </w:rPr>
              <w:t>-As group or pairs, determine skills needed for synthesizing.</w:t>
            </w:r>
          </w:p>
          <w:p w14:paraId="7F04F787" w14:textId="1A722F88" w:rsidR="00EC494E" w:rsidRDefault="00EC494E" w:rsidP="007B7F91">
            <w:pPr>
              <w:rPr>
                <w:sz w:val="20"/>
              </w:rPr>
            </w:pPr>
            <w:r w:rsidRPr="00437FB1">
              <w:rPr>
                <w:b/>
                <w:sz w:val="20"/>
              </w:rPr>
              <w:t>Slide 88</w:t>
            </w:r>
            <w:r w:rsidRPr="00437FB1">
              <w:rPr>
                <w:sz w:val="20"/>
              </w:rPr>
              <w:t xml:space="preserve"> – Introduce video that will show on slide 89 – see notes.</w:t>
            </w:r>
          </w:p>
          <w:p w14:paraId="29962C4E" w14:textId="77777777" w:rsidR="00705883" w:rsidRPr="00705883" w:rsidRDefault="00705883" w:rsidP="007B7F91">
            <w:pPr>
              <w:rPr>
                <w:sz w:val="10"/>
              </w:rPr>
            </w:pPr>
          </w:p>
          <w:p w14:paraId="4A36FFDF" w14:textId="0FA7FBE3" w:rsidR="004C6F5F" w:rsidRPr="00437FB1" w:rsidRDefault="00EC494E" w:rsidP="007B7F91">
            <w:pPr>
              <w:rPr>
                <w:b/>
                <w:sz w:val="20"/>
              </w:rPr>
            </w:pPr>
            <w:r w:rsidRPr="00437FB1">
              <w:rPr>
                <w:b/>
                <w:sz w:val="20"/>
              </w:rPr>
              <w:t>Optional Activity</w:t>
            </w:r>
          </w:p>
          <w:p w14:paraId="54CB95C9" w14:textId="6A74ABA0" w:rsidR="004C6F5F" w:rsidRDefault="004C6F5F" w:rsidP="00070E85">
            <w:r w:rsidRPr="00437FB1">
              <w:rPr>
                <w:b/>
                <w:sz w:val="20"/>
              </w:rPr>
              <w:t xml:space="preserve">Slide 91 – </w:t>
            </w:r>
            <w:r w:rsidRPr="00437FB1">
              <w:rPr>
                <w:sz w:val="20"/>
              </w:rPr>
              <w:t xml:space="preserve">Activity with </w:t>
            </w:r>
            <w:r w:rsidRPr="00416728">
              <w:rPr>
                <w:b/>
                <w:color w:val="FF0000"/>
                <w:sz w:val="20"/>
              </w:rPr>
              <w:t xml:space="preserve">Guidance for </w:t>
            </w:r>
            <w:r w:rsidR="00070E85" w:rsidRPr="00416728">
              <w:rPr>
                <w:b/>
                <w:color w:val="FF0000"/>
                <w:sz w:val="20"/>
              </w:rPr>
              <w:t>Literacy Task Design</w:t>
            </w:r>
            <w:r w:rsidR="00070E85" w:rsidRPr="00416728">
              <w:rPr>
                <w:color w:val="FF0000"/>
                <w:sz w:val="20"/>
              </w:rPr>
              <w:t xml:space="preserve"> </w:t>
            </w:r>
            <w:hyperlink r:id="rId7" w:history="1">
              <w:r w:rsidR="00070E85" w:rsidRPr="00705883">
                <w:rPr>
                  <w:rStyle w:val="Hyperlink"/>
                  <w:sz w:val="20"/>
                </w:rPr>
                <w:t>www.illinoisliteracyinaction.org</w:t>
              </w:r>
            </w:hyperlink>
            <w:r w:rsidR="00070E85" w:rsidRPr="00705883">
              <w:rPr>
                <w:sz w:val="20"/>
              </w:rPr>
              <w:t xml:space="preserve"> </w:t>
            </w:r>
            <w:r w:rsidRPr="00437FB1">
              <w:rPr>
                <w:b/>
                <w:sz w:val="20"/>
              </w:rPr>
              <w:t xml:space="preserve">– </w:t>
            </w:r>
            <w:r w:rsidRPr="00437FB1">
              <w:rPr>
                <w:sz w:val="20"/>
              </w:rPr>
              <w:t>see notes.</w:t>
            </w:r>
          </w:p>
        </w:tc>
        <w:tc>
          <w:tcPr>
            <w:tcW w:w="5040" w:type="dxa"/>
            <w:shd w:val="clear" w:color="auto" w:fill="EEECE1" w:themeFill="background2"/>
          </w:tcPr>
          <w:p w14:paraId="237D4243" w14:textId="77777777" w:rsidR="000E6826" w:rsidRDefault="000E6826" w:rsidP="00542B48"/>
          <w:p w14:paraId="1763C59B" w14:textId="77777777" w:rsidR="00070E85" w:rsidRDefault="00070E85" w:rsidP="00542B48"/>
          <w:p w14:paraId="69A086CD" w14:textId="77777777" w:rsidR="00070E85" w:rsidRDefault="00070E85" w:rsidP="00542B48"/>
          <w:p w14:paraId="4E6048DA" w14:textId="77777777" w:rsidR="00070E85" w:rsidRDefault="00070E85" w:rsidP="00542B48"/>
          <w:p w14:paraId="5ED7BFFD" w14:textId="77777777" w:rsidR="00070E85" w:rsidRDefault="00070E85" w:rsidP="00542B48"/>
          <w:p w14:paraId="15ED433A" w14:textId="77777777" w:rsidR="00070E85" w:rsidRDefault="00070E85" w:rsidP="00542B48"/>
          <w:p w14:paraId="4A38B447" w14:textId="77777777" w:rsidR="00070E85" w:rsidRDefault="00070E85" w:rsidP="00542B48"/>
          <w:p w14:paraId="718BDCB7" w14:textId="1A5A79FF" w:rsidR="00070E85" w:rsidRPr="00416728" w:rsidRDefault="00070E85" w:rsidP="00542B48">
            <w:pPr>
              <w:rPr>
                <w:b/>
              </w:rPr>
            </w:pPr>
            <w:r w:rsidRPr="00416728">
              <w:rPr>
                <w:b/>
                <w:color w:val="FF0000"/>
              </w:rPr>
              <w:t xml:space="preserve">These documents were previously titled “Guidance for </w:t>
            </w:r>
            <w:r w:rsidRPr="00416728">
              <w:rPr>
                <w:b/>
                <w:color w:val="FF0000"/>
                <w:sz w:val="20"/>
              </w:rPr>
              <w:t>Writing Scope and Sequence”.</w:t>
            </w:r>
          </w:p>
        </w:tc>
        <w:tc>
          <w:tcPr>
            <w:tcW w:w="1530" w:type="dxa"/>
            <w:shd w:val="clear" w:color="auto" w:fill="EEECE1" w:themeFill="background2"/>
          </w:tcPr>
          <w:p w14:paraId="1D9F4CB2" w14:textId="77777777" w:rsidR="000E6826" w:rsidRDefault="000E6826" w:rsidP="00F41A49">
            <w:pPr>
              <w:jc w:val="center"/>
            </w:pPr>
            <w:r>
              <w:t>15</w:t>
            </w:r>
          </w:p>
        </w:tc>
      </w:tr>
      <w:tr w:rsidR="000E6826" w14:paraId="6CD09572" w14:textId="77777777" w:rsidTr="000E6826">
        <w:tc>
          <w:tcPr>
            <w:tcW w:w="850" w:type="dxa"/>
            <w:shd w:val="clear" w:color="auto" w:fill="FFFFFF" w:themeFill="background1"/>
          </w:tcPr>
          <w:p w14:paraId="53299370" w14:textId="22B8383E" w:rsidR="000E6826" w:rsidRDefault="004C6F5F" w:rsidP="00542B48">
            <w:pPr>
              <w:jc w:val="center"/>
            </w:pPr>
            <w:r>
              <w:t>92-</w:t>
            </w:r>
            <w:r w:rsidR="004B284F">
              <w:t>95</w:t>
            </w:r>
          </w:p>
        </w:tc>
        <w:tc>
          <w:tcPr>
            <w:tcW w:w="3830" w:type="dxa"/>
          </w:tcPr>
          <w:p w14:paraId="07B82496" w14:textId="0E4EDF3A" w:rsidR="00EC494E" w:rsidRDefault="00EC494E" w:rsidP="009857B5">
            <w:pPr>
              <w:rPr>
                <w:sz w:val="20"/>
              </w:rPr>
            </w:pPr>
            <w:r>
              <w:rPr>
                <w:sz w:val="20"/>
              </w:rPr>
              <w:t xml:space="preserve">This section introduces the culminating activity. </w:t>
            </w:r>
            <w:r w:rsidR="004B284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F</w:t>
            </w:r>
            <w:r w:rsidR="009857B5" w:rsidRPr="009857B5">
              <w:rPr>
                <w:sz w:val="20"/>
              </w:rPr>
              <w:t>ollo</w:t>
            </w:r>
            <w:r>
              <w:rPr>
                <w:sz w:val="20"/>
              </w:rPr>
              <w:t>w slide and notes for procedure</w:t>
            </w:r>
            <w:r w:rsidR="009857B5" w:rsidRPr="009857B5">
              <w:rPr>
                <w:sz w:val="20"/>
              </w:rPr>
              <w:t xml:space="preserve">.  </w:t>
            </w:r>
          </w:p>
          <w:p w14:paraId="288F3B2A" w14:textId="77777777" w:rsidR="00EC494E" w:rsidRDefault="00EC494E" w:rsidP="009857B5">
            <w:pPr>
              <w:rPr>
                <w:sz w:val="20"/>
              </w:rPr>
            </w:pPr>
          </w:p>
          <w:p w14:paraId="7D0A046E" w14:textId="04084058" w:rsidR="001E17B1" w:rsidRPr="009857B5" w:rsidRDefault="001E17B1" w:rsidP="001E17B1">
            <w:pPr>
              <w:rPr>
                <w:sz w:val="20"/>
              </w:rPr>
            </w:pPr>
          </w:p>
        </w:tc>
        <w:tc>
          <w:tcPr>
            <w:tcW w:w="5040" w:type="dxa"/>
          </w:tcPr>
          <w:p w14:paraId="4D5A95CC" w14:textId="77777777" w:rsidR="009857B5" w:rsidRPr="009857B5" w:rsidRDefault="009857B5" w:rsidP="009857B5">
            <w:pPr>
              <w:rPr>
                <w:sz w:val="20"/>
              </w:rPr>
            </w:pPr>
            <w:r w:rsidRPr="009857B5">
              <w:rPr>
                <w:sz w:val="20"/>
              </w:rPr>
              <w:t>Handouts to have available:</w:t>
            </w:r>
          </w:p>
          <w:p w14:paraId="27319425" w14:textId="77777777" w:rsidR="009857B5" w:rsidRDefault="009857B5" w:rsidP="009857B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9857B5">
              <w:rPr>
                <w:sz w:val="20"/>
              </w:rPr>
              <w:t>Task/Lesson Planning Template</w:t>
            </w:r>
            <w:r w:rsidR="00437FB1">
              <w:rPr>
                <w:sz w:val="20"/>
              </w:rPr>
              <w:t xml:space="preserve"> (K-2 available as well)</w:t>
            </w:r>
          </w:p>
          <w:p w14:paraId="7BFD5B04" w14:textId="3C1C470E" w:rsidR="00437FB1" w:rsidRPr="009857B5" w:rsidRDefault="00437FB1" w:rsidP="009857B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Task Activity Focus Handout</w:t>
            </w:r>
          </w:p>
          <w:p w14:paraId="340D0B89" w14:textId="0039E35D" w:rsidR="009857B5" w:rsidRPr="009857B5" w:rsidRDefault="009857B5" w:rsidP="009857B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9857B5">
              <w:rPr>
                <w:sz w:val="20"/>
              </w:rPr>
              <w:t xml:space="preserve">Grade level texts appropriate to audience’s needs: </w:t>
            </w:r>
            <w:hyperlink r:id="rId8" w:history="1">
              <w:r w:rsidRPr="009857B5">
                <w:rPr>
                  <w:rStyle w:val="Hyperlink"/>
                  <w:sz w:val="20"/>
                </w:rPr>
                <w:t>www.readworks.org</w:t>
              </w:r>
            </w:hyperlink>
            <w:r w:rsidRPr="009857B5">
              <w:rPr>
                <w:sz w:val="20"/>
              </w:rPr>
              <w:t xml:space="preserve">, </w:t>
            </w:r>
            <w:hyperlink r:id="rId9" w:history="1">
              <w:r w:rsidRPr="009857B5">
                <w:rPr>
                  <w:rStyle w:val="Hyperlink"/>
                  <w:sz w:val="20"/>
                </w:rPr>
                <w:t>www.newsela.com</w:t>
              </w:r>
            </w:hyperlink>
            <w:r w:rsidRPr="009857B5">
              <w:rPr>
                <w:sz w:val="20"/>
              </w:rPr>
              <w:t xml:space="preserve">, </w:t>
            </w:r>
            <w:r w:rsidR="00437FB1">
              <w:rPr>
                <w:sz w:val="20"/>
              </w:rPr>
              <w:t>etc..</w:t>
            </w:r>
          </w:p>
          <w:p w14:paraId="7380542B" w14:textId="77777777" w:rsidR="009857B5" w:rsidRPr="009857B5" w:rsidRDefault="009857B5" w:rsidP="009857B5">
            <w:pPr>
              <w:rPr>
                <w:sz w:val="20"/>
                <w:szCs w:val="20"/>
              </w:rPr>
            </w:pPr>
            <w:r w:rsidRPr="009857B5">
              <w:rPr>
                <w:sz w:val="20"/>
                <w:szCs w:val="20"/>
              </w:rPr>
              <w:t>Handouts to re-reference from earlier:</w:t>
            </w:r>
          </w:p>
          <w:p w14:paraId="3040FCFD" w14:textId="77777777" w:rsidR="009857B5" w:rsidRPr="009857B5" w:rsidRDefault="009857B5" w:rsidP="009857B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857B5">
              <w:rPr>
                <w:sz w:val="20"/>
                <w:szCs w:val="20"/>
              </w:rPr>
              <w:t>Tulare Grade Level Standards</w:t>
            </w:r>
          </w:p>
          <w:p w14:paraId="48364AF4" w14:textId="77777777" w:rsidR="009857B5" w:rsidRPr="009857B5" w:rsidRDefault="009857B5" w:rsidP="009857B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857B5">
              <w:rPr>
                <w:sz w:val="20"/>
                <w:szCs w:val="20"/>
              </w:rPr>
              <w:t>Guide to Creating Text Dependent Questions</w:t>
            </w:r>
          </w:p>
          <w:p w14:paraId="6EDC094D" w14:textId="77777777" w:rsidR="009857B5" w:rsidRPr="009857B5" w:rsidRDefault="009857B5" w:rsidP="009857B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857B5">
              <w:rPr>
                <w:sz w:val="20"/>
                <w:szCs w:val="20"/>
              </w:rPr>
              <w:t>Slide 18 handout</w:t>
            </w:r>
          </w:p>
          <w:p w14:paraId="70F0745D" w14:textId="77777777" w:rsidR="00437FB1" w:rsidRDefault="00437FB1" w:rsidP="009857B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Summarizing/Note Taking</w:t>
            </w:r>
          </w:p>
          <w:p w14:paraId="0458DA83" w14:textId="164F875A" w:rsidR="009857B5" w:rsidRPr="00437FB1" w:rsidRDefault="009857B5" w:rsidP="00437FB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857B5">
              <w:rPr>
                <w:sz w:val="20"/>
                <w:szCs w:val="20"/>
              </w:rPr>
              <w:t>Toolbox for</w:t>
            </w:r>
            <w:r w:rsidR="00437FB1">
              <w:rPr>
                <w:sz w:val="20"/>
                <w:szCs w:val="20"/>
              </w:rPr>
              <w:t xml:space="preserve"> </w:t>
            </w:r>
            <w:r w:rsidRPr="00437FB1">
              <w:rPr>
                <w:sz w:val="20"/>
                <w:szCs w:val="20"/>
              </w:rPr>
              <w:t>Routine Writing Handouts</w:t>
            </w:r>
          </w:p>
        </w:tc>
        <w:tc>
          <w:tcPr>
            <w:tcW w:w="1530" w:type="dxa"/>
          </w:tcPr>
          <w:p w14:paraId="5FC3924E" w14:textId="119DF7A3" w:rsidR="000E6826" w:rsidRDefault="009857B5" w:rsidP="00D37744">
            <w:pPr>
              <w:jc w:val="center"/>
            </w:pPr>
            <w:r>
              <w:t xml:space="preserve">75 </w:t>
            </w:r>
          </w:p>
        </w:tc>
      </w:tr>
      <w:tr w:rsidR="00705883" w14:paraId="34AE6500" w14:textId="77777777" w:rsidTr="000E6826">
        <w:tc>
          <w:tcPr>
            <w:tcW w:w="850" w:type="dxa"/>
            <w:shd w:val="clear" w:color="auto" w:fill="FFFFFF" w:themeFill="background1"/>
          </w:tcPr>
          <w:p w14:paraId="3729A430" w14:textId="21658E70" w:rsidR="00705883" w:rsidRPr="004E6A83" w:rsidRDefault="00705883" w:rsidP="00542B48">
            <w:pPr>
              <w:jc w:val="center"/>
              <w:rPr>
                <w:b/>
                <w:color w:val="FF0000"/>
              </w:rPr>
            </w:pPr>
            <w:r w:rsidRPr="004E6A83">
              <w:rPr>
                <w:b/>
                <w:color w:val="FF0000"/>
              </w:rPr>
              <w:t>96</w:t>
            </w:r>
          </w:p>
        </w:tc>
        <w:tc>
          <w:tcPr>
            <w:tcW w:w="3830" w:type="dxa"/>
          </w:tcPr>
          <w:p w14:paraId="538C8F64" w14:textId="10C26FCD" w:rsidR="00705883" w:rsidRPr="004E6A83" w:rsidRDefault="00705883" w:rsidP="00705883">
            <w:pPr>
              <w:tabs>
                <w:tab w:val="left" w:pos="1060"/>
              </w:tabs>
              <w:rPr>
                <w:b/>
                <w:color w:val="FF0000"/>
                <w:sz w:val="20"/>
              </w:rPr>
            </w:pPr>
            <w:r w:rsidRPr="004E6A83">
              <w:rPr>
                <w:b/>
                <w:color w:val="FF0000"/>
                <w:sz w:val="20"/>
              </w:rPr>
              <w:t>Hidden Slide – See notes</w:t>
            </w:r>
          </w:p>
        </w:tc>
        <w:tc>
          <w:tcPr>
            <w:tcW w:w="5040" w:type="dxa"/>
          </w:tcPr>
          <w:p w14:paraId="5265D3E2" w14:textId="33D243A8" w:rsidR="00705883" w:rsidRPr="004E6A83" w:rsidRDefault="00705883" w:rsidP="00705883">
            <w:pPr>
              <w:rPr>
                <w:b/>
                <w:color w:val="FF0000"/>
                <w:sz w:val="20"/>
              </w:rPr>
            </w:pPr>
            <w:r w:rsidRPr="004E6A83">
              <w:rPr>
                <w:b/>
                <w:color w:val="FF0000"/>
                <w:sz w:val="20"/>
              </w:rPr>
              <w:t xml:space="preserve">This slide is to make presenters aware of the changes the PARCC resources are currently undergoing.  </w:t>
            </w:r>
          </w:p>
        </w:tc>
        <w:tc>
          <w:tcPr>
            <w:tcW w:w="1530" w:type="dxa"/>
          </w:tcPr>
          <w:p w14:paraId="277E55CD" w14:textId="77777777" w:rsidR="00705883" w:rsidRPr="004E6A83" w:rsidRDefault="00705883" w:rsidP="00D37744">
            <w:pPr>
              <w:jc w:val="center"/>
              <w:rPr>
                <w:b/>
                <w:color w:val="FF0000"/>
              </w:rPr>
            </w:pPr>
          </w:p>
        </w:tc>
      </w:tr>
      <w:tr w:rsidR="009857B5" w14:paraId="34577D51" w14:textId="77777777" w:rsidTr="00002805">
        <w:tc>
          <w:tcPr>
            <w:tcW w:w="850" w:type="dxa"/>
            <w:shd w:val="clear" w:color="auto" w:fill="FFFFFF" w:themeFill="background1"/>
          </w:tcPr>
          <w:p w14:paraId="58AD4F78" w14:textId="2398B88B" w:rsidR="009857B5" w:rsidRPr="000A4824" w:rsidRDefault="00705883" w:rsidP="009857B5">
            <w:pPr>
              <w:jc w:val="center"/>
            </w:pPr>
            <w:r>
              <w:t>97-99</w:t>
            </w:r>
          </w:p>
        </w:tc>
        <w:tc>
          <w:tcPr>
            <w:tcW w:w="3830" w:type="dxa"/>
            <w:shd w:val="clear" w:color="auto" w:fill="FFFFFF" w:themeFill="background1"/>
          </w:tcPr>
          <w:p w14:paraId="0BCE860A" w14:textId="006883B3" w:rsidR="009857B5" w:rsidRPr="00437FB1" w:rsidRDefault="009857B5" w:rsidP="009857B5">
            <w:pPr>
              <w:rPr>
                <w:sz w:val="20"/>
              </w:rPr>
            </w:pPr>
            <w:r w:rsidRPr="00437FB1">
              <w:rPr>
                <w:sz w:val="20"/>
              </w:rPr>
              <w:t>Share resources and visit website if time permits</w:t>
            </w:r>
          </w:p>
        </w:tc>
        <w:tc>
          <w:tcPr>
            <w:tcW w:w="5040" w:type="dxa"/>
            <w:shd w:val="clear" w:color="auto" w:fill="FFFFFF" w:themeFill="background1"/>
          </w:tcPr>
          <w:p w14:paraId="720680B3" w14:textId="237DE5D3" w:rsidR="009857B5" w:rsidRPr="00705883" w:rsidRDefault="009857B5" w:rsidP="00705883">
            <w:pPr>
              <w:rPr>
                <w:sz w:val="20"/>
              </w:rPr>
            </w:pPr>
            <w:r w:rsidRPr="00437FB1">
              <w:rPr>
                <w:sz w:val="20"/>
              </w:rPr>
              <w:t>Handouts referred to:</w:t>
            </w:r>
            <w:r w:rsidR="00705883">
              <w:rPr>
                <w:sz w:val="20"/>
              </w:rPr>
              <w:t xml:space="preserve">  </w:t>
            </w:r>
            <w:r w:rsidRPr="00705883">
              <w:rPr>
                <w:sz w:val="20"/>
              </w:rPr>
              <w:t>PRC Access Handout</w:t>
            </w:r>
            <w:r w:rsidR="00070E85" w:rsidRPr="00705883">
              <w:rPr>
                <w:sz w:val="20"/>
              </w:rPr>
              <w:t xml:space="preserve"> </w:t>
            </w:r>
            <w:r w:rsidR="00705883" w:rsidRPr="00705883">
              <w:rPr>
                <w:b/>
                <w:color w:val="FF0000"/>
                <w:sz w:val="20"/>
              </w:rPr>
              <w:t>(Do not use the PRC handout as it is not accurate anymore).</w:t>
            </w:r>
          </w:p>
        </w:tc>
        <w:tc>
          <w:tcPr>
            <w:tcW w:w="1530" w:type="dxa"/>
            <w:shd w:val="clear" w:color="auto" w:fill="FFFFFF" w:themeFill="background1"/>
          </w:tcPr>
          <w:p w14:paraId="7E844BA9" w14:textId="3133B80D" w:rsidR="009857B5" w:rsidRDefault="009857B5" w:rsidP="009857B5">
            <w:pPr>
              <w:jc w:val="center"/>
            </w:pPr>
            <w:r>
              <w:t>10</w:t>
            </w:r>
          </w:p>
        </w:tc>
      </w:tr>
      <w:tr w:rsidR="009857B5" w14:paraId="425AC03A" w14:textId="77777777" w:rsidTr="004E6A83">
        <w:tc>
          <w:tcPr>
            <w:tcW w:w="850" w:type="dxa"/>
            <w:shd w:val="clear" w:color="auto" w:fill="F2F2F2" w:themeFill="background1" w:themeFillShade="F2"/>
          </w:tcPr>
          <w:p w14:paraId="1B6F6E0F" w14:textId="5A2A0E44" w:rsidR="009857B5" w:rsidRPr="000A4824" w:rsidRDefault="00705883" w:rsidP="00705883">
            <w:r w:rsidRPr="00705883">
              <w:rPr>
                <w:sz w:val="18"/>
              </w:rPr>
              <w:t>100</w:t>
            </w:r>
            <w:r>
              <w:rPr>
                <w:sz w:val="18"/>
              </w:rPr>
              <w:t>-</w:t>
            </w:r>
            <w:r w:rsidR="004B284F" w:rsidRPr="00705883">
              <w:rPr>
                <w:sz w:val="18"/>
              </w:rPr>
              <w:t>103</w:t>
            </w:r>
          </w:p>
        </w:tc>
        <w:tc>
          <w:tcPr>
            <w:tcW w:w="3830" w:type="dxa"/>
            <w:shd w:val="clear" w:color="auto" w:fill="F2F2F2" w:themeFill="background1" w:themeFillShade="F2"/>
          </w:tcPr>
          <w:p w14:paraId="1CDE02ED" w14:textId="5ED95396" w:rsidR="009857B5" w:rsidRPr="00437FB1" w:rsidRDefault="009857B5" w:rsidP="004E6A83">
            <w:pPr>
              <w:rPr>
                <w:sz w:val="20"/>
              </w:rPr>
            </w:pPr>
            <w:r w:rsidRPr="00437FB1">
              <w:rPr>
                <w:sz w:val="20"/>
              </w:rPr>
              <w:t>Share quote and give post text</w:t>
            </w:r>
            <w:r w:rsidR="00EC494E" w:rsidRPr="00437FB1">
              <w:rPr>
                <w:sz w:val="20"/>
              </w:rPr>
              <w:t xml:space="preserve">.  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384BF004" w14:textId="33268466" w:rsidR="009857B5" w:rsidRPr="00437FB1" w:rsidRDefault="001C5165" w:rsidP="009857B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437FB1">
              <w:rPr>
                <w:sz w:val="20"/>
              </w:rPr>
              <w:t>Post</w:t>
            </w:r>
            <w:r w:rsidR="009857B5" w:rsidRPr="00437FB1">
              <w:rPr>
                <w:sz w:val="20"/>
              </w:rPr>
              <w:t>test/CPDUs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443A697" w14:textId="1012E28B" w:rsidR="009857B5" w:rsidRDefault="009857B5" w:rsidP="009857B5">
            <w:pPr>
              <w:jc w:val="center"/>
            </w:pPr>
            <w:r>
              <w:t>5</w:t>
            </w:r>
          </w:p>
        </w:tc>
      </w:tr>
    </w:tbl>
    <w:p w14:paraId="668D5473" w14:textId="77777777" w:rsidR="00A8619D" w:rsidRDefault="00A8619D" w:rsidP="00A8619D"/>
    <w:sectPr w:rsidR="00A8619D" w:rsidSect="00B92ADE">
      <w:headerReference w:type="default" r:id="rId10"/>
      <w:pgSz w:w="12240" w:h="15840"/>
      <w:pgMar w:top="900" w:right="144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04B4D" w14:textId="77777777" w:rsidR="00BC0FE3" w:rsidRDefault="00BC0FE3" w:rsidP="004E6A83">
      <w:pPr>
        <w:spacing w:after="0" w:line="240" w:lineRule="auto"/>
      </w:pPr>
      <w:r>
        <w:separator/>
      </w:r>
    </w:p>
  </w:endnote>
  <w:endnote w:type="continuationSeparator" w:id="0">
    <w:p w14:paraId="3C9C8BA7" w14:textId="77777777" w:rsidR="00BC0FE3" w:rsidRDefault="00BC0FE3" w:rsidP="004E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7541" w14:textId="77777777" w:rsidR="00BC0FE3" w:rsidRDefault="00BC0FE3" w:rsidP="004E6A83">
      <w:pPr>
        <w:spacing w:after="0" w:line="240" w:lineRule="auto"/>
      </w:pPr>
      <w:r>
        <w:separator/>
      </w:r>
    </w:p>
  </w:footnote>
  <w:footnote w:type="continuationSeparator" w:id="0">
    <w:p w14:paraId="261F5CC2" w14:textId="77777777" w:rsidR="00BC0FE3" w:rsidRDefault="00BC0FE3" w:rsidP="004E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6C59" w14:textId="2CAE82DE" w:rsidR="004E6A83" w:rsidRDefault="004E6A83">
    <w:pPr>
      <w:pStyle w:val="Header"/>
    </w:pPr>
    <w:r>
      <w:t>6-3-2017</w:t>
    </w:r>
  </w:p>
  <w:p w14:paraId="25B5E2CC" w14:textId="77777777" w:rsidR="004E6A83" w:rsidRDefault="004E6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E9A"/>
    <w:multiLevelType w:val="hybridMultilevel"/>
    <w:tmpl w:val="BAA2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371E"/>
    <w:multiLevelType w:val="hybridMultilevel"/>
    <w:tmpl w:val="B228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0B58"/>
    <w:multiLevelType w:val="hybridMultilevel"/>
    <w:tmpl w:val="BF48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5263"/>
    <w:multiLevelType w:val="hybridMultilevel"/>
    <w:tmpl w:val="CE7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749E"/>
    <w:multiLevelType w:val="hybridMultilevel"/>
    <w:tmpl w:val="56FA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16E6"/>
    <w:multiLevelType w:val="hybridMultilevel"/>
    <w:tmpl w:val="5E82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A5D3A"/>
    <w:multiLevelType w:val="hybridMultilevel"/>
    <w:tmpl w:val="727448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3A0C3F"/>
    <w:multiLevelType w:val="hybridMultilevel"/>
    <w:tmpl w:val="EDFA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05918"/>
    <w:multiLevelType w:val="hybridMultilevel"/>
    <w:tmpl w:val="5AA2593A"/>
    <w:lvl w:ilvl="0" w:tplc="9272B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48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EB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4D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C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6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4E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03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0F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686E4D"/>
    <w:multiLevelType w:val="hybridMultilevel"/>
    <w:tmpl w:val="8B10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87730"/>
    <w:multiLevelType w:val="hybridMultilevel"/>
    <w:tmpl w:val="58DC4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03841"/>
    <w:multiLevelType w:val="hybridMultilevel"/>
    <w:tmpl w:val="E50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F56E0"/>
    <w:multiLevelType w:val="hybridMultilevel"/>
    <w:tmpl w:val="E6420A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EC266F"/>
    <w:multiLevelType w:val="hybridMultilevel"/>
    <w:tmpl w:val="57BA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75FC8"/>
    <w:multiLevelType w:val="hybridMultilevel"/>
    <w:tmpl w:val="7D3C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B4E52"/>
    <w:multiLevelType w:val="hybridMultilevel"/>
    <w:tmpl w:val="8578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43309"/>
    <w:multiLevelType w:val="hybridMultilevel"/>
    <w:tmpl w:val="20B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wNTQxMTG0MDAxNzRQ0lEKTi0uzszPAykwrwUAc3RpEiwAAAA="/>
  </w:docVars>
  <w:rsids>
    <w:rsidRoot w:val="00A8619D"/>
    <w:rsid w:val="0003581C"/>
    <w:rsid w:val="00067CEF"/>
    <w:rsid w:val="00070E85"/>
    <w:rsid w:val="000805C5"/>
    <w:rsid w:val="000A1A41"/>
    <w:rsid w:val="000A4824"/>
    <w:rsid w:val="000E6826"/>
    <w:rsid w:val="00164A7F"/>
    <w:rsid w:val="001A2C1A"/>
    <w:rsid w:val="001A569D"/>
    <w:rsid w:val="001C5165"/>
    <w:rsid w:val="001E17B1"/>
    <w:rsid w:val="001F65D8"/>
    <w:rsid w:val="00223DFA"/>
    <w:rsid w:val="00231F69"/>
    <w:rsid w:val="00246AC0"/>
    <w:rsid w:val="002A75A0"/>
    <w:rsid w:val="002C11AF"/>
    <w:rsid w:val="002E2875"/>
    <w:rsid w:val="003218C2"/>
    <w:rsid w:val="00333064"/>
    <w:rsid w:val="00374624"/>
    <w:rsid w:val="003F34B7"/>
    <w:rsid w:val="00416728"/>
    <w:rsid w:val="00436DAB"/>
    <w:rsid w:val="00437FB1"/>
    <w:rsid w:val="00476F7D"/>
    <w:rsid w:val="0048124D"/>
    <w:rsid w:val="004814E1"/>
    <w:rsid w:val="004B284F"/>
    <w:rsid w:val="004B48C3"/>
    <w:rsid w:val="004C6F5F"/>
    <w:rsid w:val="004E6A83"/>
    <w:rsid w:val="005028DF"/>
    <w:rsid w:val="00513929"/>
    <w:rsid w:val="005227CC"/>
    <w:rsid w:val="00542B48"/>
    <w:rsid w:val="005919DC"/>
    <w:rsid w:val="005920DF"/>
    <w:rsid w:val="005958F7"/>
    <w:rsid w:val="005B3448"/>
    <w:rsid w:val="005C1781"/>
    <w:rsid w:val="005E1AE7"/>
    <w:rsid w:val="00661FB5"/>
    <w:rsid w:val="00677A9F"/>
    <w:rsid w:val="006B4DCE"/>
    <w:rsid w:val="006F6C44"/>
    <w:rsid w:val="00705883"/>
    <w:rsid w:val="00721514"/>
    <w:rsid w:val="007627B8"/>
    <w:rsid w:val="00770C97"/>
    <w:rsid w:val="00770FC9"/>
    <w:rsid w:val="00777A6D"/>
    <w:rsid w:val="007B7F91"/>
    <w:rsid w:val="007D16A3"/>
    <w:rsid w:val="007E7D39"/>
    <w:rsid w:val="008174A3"/>
    <w:rsid w:val="008416F3"/>
    <w:rsid w:val="008458EB"/>
    <w:rsid w:val="00854B27"/>
    <w:rsid w:val="0087766A"/>
    <w:rsid w:val="008870B0"/>
    <w:rsid w:val="00892B19"/>
    <w:rsid w:val="0089587F"/>
    <w:rsid w:val="008A7D2F"/>
    <w:rsid w:val="00952A77"/>
    <w:rsid w:val="009857B5"/>
    <w:rsid w:val="009A530D"/>
    <w:rsid w:val="009C09B5"/>
    <w:rsid w:val="00A24D1E"/>
    <w:rsid w:val="00A37CB4"/>
    <w:rsid w:val="00A60E4E"/>
    <w:rsid w:val="00A67F28"/>
    <w:rsid w:val="00A8619D"/>
    <w:rsid w:val="00AB51BA"/>
    <w:rsid w:val="00B0015D"/>
    <w:rsid w:val="00B1643E"/>
    <w:rsid w:val="00B63FE2"/>
    <w:rsid w:val="00B8699F"/>
    <w:rsid w:val="00B92ADE"/>
    <w:rsid w:val="00BA1941"/>
    <w:rsid w:val="00BC0FE3"/>
    <w:rsid w:val="00BD2887"/>
    <w:rsid w:val="00C0240A"/>
    <w:rsid w:val="00C55FE0"/>
    <w:rsid w:val="00C575C3"/>
    <w:rsid w:val="00C77B44"/>
    <w:rsid w:val="00D11498"/>
    <w:rsid w:val="00DA4182"/>
    <w:rsid w:val="00DC318B"/>
    <w:rsid w:val="00E75B58"/>
    <w:rsid w:val="00E902A5"/>
    <w:rsid w:val="00EC376A"/>
    <w:rsid w:val="00EC494E"/>
    <w:rsid w:val="00EE2355"/>
    <w:rsid w:val="00EE6764"/>
    <w:rsid w:val="00F36F81"/>
    <w:rsid w:val="00F41A49"/>
    <w:rsid w:val="00F44AFA"/>
    <w:rsid w:val="00F75786"/>
    <w:rsid w:val="00F81DFF"/>
    <w:rsid w:val="00F9458E"/>
    <w:rsid w:val="00FC3A8F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B717"/>
  <w15:docId w15:val="{57A90368-5E1F-4935-AF48-C5B8BFE0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A8619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861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A861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8619D"/>
    <w:pPr>
      <w:ind w:left="720"/>
      <w:contextualSpacing/>
    </w:pPr>
  </w:style>
  <w:style w:type="table" w:styleId="MediumList2-Accent4">
    <w:name w:val="Medium List 2 Accent 4"/>
    <w:basedOn w:val="TableNormal"/>
    <w:uiPriority w:val="66"/>
    <w:rsid w:val="00A861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14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4A7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2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A83"/>
  </w:style>
  <w:style w:type="paragraph" w:styleId="Footer">
    <w:name w:val="footer"/>
    <w:basedOn w:val="Normal"/>
    <w:link w:val="FooterChar"/>
    <w:uiPriority w:val="99"/>
    <w:unhideWhenUsed/>
    <w:rsid w:val="004E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3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27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linoisliteracyinac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wse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Jill</dc:creator>
  <cp:lastModifiedBy>deess@roe17.org</cp:lastModifiedBy>
  <cp:revision>2</cp:revision>
  <dcterms:created xsi:type="dcterms:W3CDTF">2017-06-05T21:22:00Z</dcterms:created>
  <dcterms:modified xsi:type="dcterms:W3CDTF">2017-06-05T21:22:00Z</dcterms:modified>
</cp:coreProperties>
</file>