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67BF" w:rsidRDefault="00913C73" w:rsidP="00913C73">
      <w:pPr>
        <w:jc w:val="center"/>
      </w:pPr>
      <w:r>
        <w:rPr>
          <w:noProof/>
        </w:rPr>
        <w:drawing>
          <wp:anchor distT="0" distB="0" distL="114300" distR="114300" simplePos="0" relativeHeight="251661312" behindDoc="0" locked="0" layoutInCell="1" allowOverlap="1" wp14:anchorId="2715688C" wp14:editId="7B589CD8">
            <wp:simplePos x="0" y="0"/>
            <wp:positionH relativeFrom="margin">
              <wp:align>right</wp:align>
            </wp:positionH>
            <wp:positionV relativeFrom="margin">
              <wp:posOffset>13970</wp:posOffset>
            </wp:positionV>
            <wp:extent cx="1033145" cy="1009650"/>
            <wp:effectExtent l="0" t="0" r="0" b="0"/>
            <wp:wrapSquare wrapText="bothSides"/>
            <wp:docPr id="2" name="Picture 2" descr="Home">
              <a:hlinkClick xmlns:a="http://schemas.openxmlformats.org/drawingml/2006/main" r:id="rId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Home"/>
                    </pic:cNvPr>
                    <pic:cNvPicPr>
                      <a:picLocks noChangeAspect="1" noChangeArrowheads="1"/>
                    </pic:cNvPicPr>
                  </pic:nvPicPr>
                  <pic:blipFill>
                    <a:blip r:embed="rId8" cstate="print"/>
                    <a:srcRect/>
                    <a:stretch>
                      <a:fillRect/>
                    </a:stretch>
                  </pic:blipFill>
                  <pic:spPr bwMode="auto">
                    <a:xfrm>
                      <a:off x="0" y="0"/>
                      <a:ext cx="1033145" cy="10096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58B95E50" wp14:editId="5A64152D">
            <wp:simplePos x="0" y="0"/>
            <wp:positionH relativeFrom="margin">
              <wp:align>left</wp:align>
            </wp:positionH>
            <wp:positionV relativeFrom="margin">
              <wp:posOffset>9525</wp:posOffset>
            </wp:positionV>
            <wp:extent cx="1012190" cy="998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of_Illino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2190" cy="998855"/>
                    </a:xfrm>
                    <a:prstGeom prst="rect">
                      <a:avLst/>
                    </a:prstGeom>
                  </pic:spPr>
                </pic:pic>
              </a:graphicData>
            </a:graphic>
          </wp:anchor>
        </w:drawing>
      </w:r>
      <w:r w:rsidR="005911AE">
        <w:rPr>
          <w:rFonts w:ascii="Arial" w:eastAsia="Arial" w:hAnsi="Arial" w:cs="Arial"/>
          <w:b/>
          <w:sz w:val="24"/>
        </w:rPr>
        <w:t>Foundational Services – Teacher Evaluation</w:t>
      </w:r>
    </w:p>
    <w:p w:rsidR="000B67BF" w:rsidRPr="00913C73" w:rsidRDefault="005911AE" w:rsidP="00913C73">
      <w:pPr>
        <w:jc w:val="center"/>
        <w:rPr>
          <w:rFonts w:ascii="Arial" w:hAnsi="Arial" w:cs="Arial"/>
          <w:sz w:val="24"/>
          <w:szCs w:val="24"/>
        </w:rPr>
      </w:pPr>
      <w:r>
        <w:rPr>
          <w:rFonts w:ascii="Arial" w:eastAsia="Arial" w:hAnsi="Arial" w:cs="Arial"/>
          <w:b/>
          <w:sz w:val="24"/>
        </w:rPr>
        <w:t xml:space="preserve">Description/Purpose of Content Area:  </w:t>
      </w:r>
      <w:r w:rsidR="009B3BEB" w:rsidRPr="009B3BEB">
        <w:rPr>
          <w:rFonts w:ascii="Arial" w:eastAsia="Helvetica Neue" w:hAnsi="Arial" w:cs="Arial"/>
          <w:i/>
          <w:color w:val="auto"/>
          <w:sz w:val="24"/>
          <w:szCs w:val="24"/>
          <w:highlight w:val="white"/>
        </w:rPr>
        <w:t>District teams will receive training on different growth models and implementing the student growth component, rules and regulations for Joint Committees, the legislative options for districts, and the three types of assessments available when making student growth calculations</w:t>
      </w:r>
      <w:r w:rsidR="009B3BEB" w:rsidRPr="009B3BEB">
        <w:rPr>
          <w:rFonts w:ascii="Arial" w:eastAsia="Helvetica Neue" w:hAnsi="Arial" w:cs="Arial"/>
          <w:i/>
          <w:color w:val="auto"/>
          <w:sz w:val="24"/>
          <w:szCs w:val="24"/>
        </w:rPr>
        <w:t>.</w:t>
      </w:r>
      <w:r w:rsidR="009B3BEB">
        <w:rPr>
          <w:rFonts w:ascii="Arial" w:eastAsia="Helvetica Neue" w:hAnsi="Arial" w:cs="Arial"/>
          <w:b/>
          <w:i/>
          <w:color w:val="auto"/>
          <w:sz w:val="24"/>
          <w:szCs w:val="24"/>
        </w:rPr>
        <w:t xml:space="preserve">  </w:t>
      </w:r>
      <w:r w:rsidR="0057754B">
        <w:rPr>
          <w:rFonts w:ascii="Arial" w:eastAsia="Arial" w:hAnsi="Arial" w:cs="Arial"/>
          <w:b/>
          <w:i/>
          <w:szCs w:val="24"/>
        </w:rPr>
        <w:t xml:space="preserve">These </w:t>
      </w:r>
      <w:r w:rsidR="002458A4">
        <w:rPr>
          <w:rFonts w:ascii="Arial" w:eastAsia="Arial" w:hAnsi="Arial" w:cs="Arial"/>
          <w:b/>
          <w:i/>
          <w:szCs w:val="24"/>
        </w:rPr>
        <w:t>modules</w:t>
      </w:r>
      <w:r w:rsidR="0084437C" w:rsidRPr="00317B61">
        <w:rPr>
          <w:rFonts w:ascii="Arial" w:eastAsia="Arial" w:hAnsi="Arial" w:cs="Arial"/>
          <w:b/>
          <w:i/>
          <w:szCs w:val="24"/>
        </w:rPr>
        <w:t xml:space="preserve"> were developed to be</w:t>
      </w:r>
      <w:r w:rsidR="0084437C">
        <w:rPr>
          <w:rFonts w:ascii="Arial" w:eastAsia="Arial" w:hAnsi="Arial" w:cs="Arial"/>
          <w:b/>
          <w:i/>
          <w:szCs w:val="24"/>
        </w:rPr>
        <w:t xml:space="preserve"> delivered in the order listed below and can be </w:t>
      </w:r>
      <w:r w:rsidR="002458A4">
        <w:rPr>
          <w:rFonts w:ascii="Arial" w:eastAsia="Arial" w:hAnsi="Arial" w:cs="Arial"/>
          <w:b/>
          <w:i/>
          <w:szCs w:val="24"/>
        </w:rPr>
        <w:t>combined as needed</w:t>
      </w:r>
      <w:r w:rsidR="0084437C">
        <w:rPr>
          <w:rFonts w:ascii="Arial" w:eastAsia="Arial" w:hAnsi="Arial" w:cs="Arial"/>
          <w:b/>
          <w:i/>
          <w:szCs w:val="24"/>
        </w:rPr>
        <w:t>.</w:t>
      </w:r>
    </w:p>
    <w:p w:rsidR="00CF1FAD" w:rsidRPr="002458A4" w:rsidRDefault="0084437C">
      <w:pPr>
        <w:spacing w:line="240" w:lineRule="auto"/>
        <w:rPr>
          <w:rFonts w:ascii="Arial" w:eastAsia="Arial" w:hAnsi="Arial" w:cs="Arial"/>
          <w:color w:val="444444"/>
          <w:sz w:val="24"/>
        </w:rPr>
      </w:pPr>
      <w:r>
        <w:rPr>
          <w:rFonts w:ascii="Arial" w:eastAsia="Arial" w:hAnsi="Arial" w:cs="Arial"/>
          <w:b/>
          <w:color w:val="444444"/>
          <w:sz w:val="24"/>
          <w:highlight w:val="white"/>
        </w:rPr>
        <w:t xml:space="preserve">Module 1:  </w:t>
      </w:r>
      <w:r w:rsidR="00CF1FAD">
        <w:rPr>
          <w:rFonts w:ascii="Arial" w:eastAsia="Arial" w:hAnsi="Arial" w:cs="Arial"/>
          <w:b/>
          <w:color w:val="444444"/>
          <w:sz w:val="24"/>
          <w:highlight w:val="white"/>
        </w:rPr>
        <w:t>Part</w:t>
      </w:r>
      <w:r w:rsidR="005911AE">
        <w:rPr>
          <w:rFonts w:ascii="Arial" w:eastAsia="Arial" w:hAnsi="Arial" w:cs="Arial"/>
          <w:b/>
          <w:color w:val="444444"/>
          <w:sz w:val="24"/>
          <w:highlight w:val="white"/>
        </w:rPr>
        <w:t xml:space="preserve"> 50 Rules and Regulations</w:t>
      </w:r>
      <w:r w:rsidR="00A7552F">
        <w:rPr>
          <w:rFonts w:ascii="Arial" w:eastAsia="Arial" w:hAnsi="Arial" w:cs="Arial"/>
          <w:b/>
          <w:color w:val="444444"/>
          <w:sz w:val="24"/>
          <w:highlight w:val="white"/>
        </w:rPr>
        <w:t>:</w:t>
      </w:r>
      <w:r>
        <w:rPr>
          <w:rFonts w:ascii="Arial" w:eastAsia="Arial" w:hAnsi="Arial" w:cs="Arial"/>
          <w:b/>
          <w:color w:val="444444"/>
          <w:sz w:val="24"/>
          <w:highlight w:val="white"/>
        </w:rPr>
        <w:t xml:space="preserve"> </w:t>
      </w:r>
      <w:r w:rsidR="002458A4">
        <w:rPr>
          <w:rFonts w:ascii="Arial" w:eastAsia="Arial" w:hAnsi="Arial" w:cs="Arial"/>
          <w:color w:val="444444"/>
          <w:sz w:val="24"/>
        </w:rPr>
        <w:t>(</w:t>
      </w:r>
      <w:r w:rsidR="00242A1F">
        <w:rPr>
          <w:rFonts w:ascii="Arial" w:eastAsia="Arial" w:hAnsi="Arial" w:cs="Arial"/>
          <w:color w:val="444444"/>
          <w:sz w:val="24"/>
        </w:rPr>
        <w:t>H</w:t>
      </w:r>
      <w:r w:rsidR="002458A4">
        <w:rPr>
          <w:rFonts w:ascii="Arial" w:eastAsia="Arial" w:hAnsi="Arial" w:cs="Arial"/>
          <w:color w:val="444444"/>
          <w:sz w:val="24"/>
        </w:rPr>
        <w:t>alf day session)</w:t>
      </w:r>
    </w:p>
    <w:p w:rsidR="000B67BF" w:rsidRPr="00763770" w:rsidRDefault="005911AE">
      <w:pPr>
        <w:numPr>
          <w:ilvl w:val="0"/>
          <w:numId w:val="1"/>
        </w:numPr>
        <w:spacing w:before="280" w:after="280" w:line="240" w:lineRule="auto"/>
        <w:ind w:hanging="360"/>
        <w:contextualSpacing/>
        <w:rPr>
          <w:color w:val="444444"/>
          <w:sz w:val="24"/>
        </w:rPr>
      </w:pPr>
      <w:r>
        <w:rPr>
          <w:rFonts w:ascii="Arial" w:eastAsia="Arial" w:hAnsi="Arial" w:cs="Arial"/>
          <w:color w:val="444444"/>
          <w:sz w:val="24"/>
        </w:rPr>
        <w:t>Participants will demonstrate knowledge of Section 50.110 Student Growth Components of the Illinois Administrative Code Part 50.​</w:t>
      </w:r>
    </w:p>
    <w:p w:rsidR="00913C73" w:rsidRDefault="00913C73">
      <w:pPr>
        <w:spacing w:line="240" w:lineRule="auto"/>
        <w:rPr>
          <w:rFonts w:ascii="Arial" w:eastAsia="Arial" w:hAnsi="Arial" w:cs="Arial"/>
          <w:b/>
          <w:color w:val="444444"/>
          <w:sz w:val="24"/>
        </w:rPr>
      </w:pPr>
    </w:p>
    <w:p w:rsidR="000B67BF" w:rsidRPr="002458A4" w:rsidRDefault="0084437C">
      <w:pPr>
        <w:spacing w:line="240" w:lineRule="auto"/>
      </w:pPr>
      <w:r>
        <w:rPr>
          <w:rFonts w:ascii="Arial" w:eastAsia="Arial" w:hAnsi="Arial" w:cs="Arial"/>
          <w:b/>
          <w:color w:val="444444"/>
          <w:sz w:val="24"/>
        </w:rPr>
        <w:t xml:space="preserve">Module 2:  </w:t>
      </w:r>
      <w:r w:rsidR="005911AE">
        <w:rPr>
          <w:rFonts w:ascii="Arial" w:eastAsia="Arial" w:hAnsi="Arial" w:cs="Arial"/>
          <w:b/>
          <w:color w:val="444444"/>
          <w:sz w:val="24"/>
        </w:rPr>
        <w:t xml:space="preserve">Working with Joint Committees:  </w:t>
      </w:r>
      <w:r w:rsidR="00242A1F">
        <w:rPr>
          <w:rFonts w:ascii="Arial" w:eastAsia="Arial" w:hAnsi="Arial" w:cs="Arial"/>
          <w:color w:val="444444"/>
          <w:sz w:val="24"/>
        </w:rPr>
        <w:t>(H</w:t>
      </w:r>
      <w:r w:rsidR="002458A4">
        <w:rPr>
          <w:rFonts w:ascii="Arial" w:eastAsia="Arial" w:hAnsi="Arial" w:cs="Arial"/>
          <w:color w:val="444444"/>
          <w:sz w:val="24"/>
        </w:rPr>
        <w:t>alf day session)</w:t>
      </w:r>
    </w:p>
    <w:p w:rsidR="000B67BF" w:rsidRPr="00763770" w:rsidRDefault="009B3BEB">
      <w:pPr>
        <w:numPr>
          <w:ilvl w:val="0"/>
          <w:numId w:val="1"/>
        </w:numPr>
        <w:spacing w:line="240" w:lineRule="auto"/>
        <w:ind w:hanging="360"/>
        <w:contextualSpacing/>
        <w:rPr>
          <w:color w:val="444444"/>
          <w:sz w:val="24"/>
        </w:rPr>
      </w:pPr>
      <w:r>
        <w:rPr>
          <w:rFonts w:ascii="Arial" w:eastAsia="Arial" w:hAnsi="Arial" w:cs="Arial"/>
          <w:color w:val="444444"/>
          <w:sz w:val="24"/>
        </w:rPr>
        <w:t>Participants will</w:t>
      </w:r>
      <w:r w:rsidR="005911AE">
        <w:rPr>
          <w:rFonts w:ascii="Arial" w:eastAsia="Arial" w:hAnsi="Arial" w:cs="Arial"/>
          <w:color w:val="444444"/>
          <w:sz w:val="24"/>
        </w:rPr>
        <w:t xml:space="preserve"> identify </w:t>
      </w:r>
      <w:r w:rsidR="005911AE" w:rsidRPr="00A7552F">
        <w:rPr>
          <w:rFonts w:ascii="Arial" w:eastAsia="Arial" w:hAnsi="Arial" w:cs="Arial"/>
          <w:color w:val="auto"/>
          <w:sz w:val="24"/>
        </w:rPr>
        <w:t xml:space="preserve">steps and critical questions for </w:t>
      </w:r>
      <w:r w:rsidR="00763770" w:rsidRPr="00A7552F">
        <w:rPr>
          <w:rFonts w:ascii="Arial" w:eastAsia="Arial" w:hAnsi="Arial" w:cs="Arial"/>
          <w:color w:val="auto"/>
          <w:sz w:val="24"/>
        </w:rPr>
        <w:t>a</w:t>
      </w:r>
      <w:r w:rsidR="005911AE" w:rsidRPr="00A7552F">
        <w:rPr>
          <w:rFonts w:ascii="Arial" w:eastAsia="Arial" w:hAnsi="Arial" w:cs="Arial"/>
          <w:color w:val="auto"/>
          <w:sz w:val="24"/>
        </w:rPr>
        <w:t xml:space="preserve"> Joint Committee to consider as school district</w:t>
      </w:r>
      <w:r w:rsidR="00763770" w:rsidRPr="00A7552F">
        <w:rPr>
          <w:rFonts w:ascii="Arial" w:eastAsia="Arial" w:hAnsi="Arial" w:cs="Arial"/>
          <w:color w:val="auto"/>
          <w:sz w:val="24"/>
        </w:rPr>
        <w:t>s prepare</w:t>
      </w:r>
      <w:r w:rsidR="005911AE" w:rsidRPr="00A7552F">
        <w:rPr>
          <w:rFonts w:ascii="Arial" w:eastAsia="Arial" w:hAnsi="Arial" w:cs="Arial"/>
          <w:color w:val="auto"/>
          <w:sz w:val="24"/>
        </w:rPr>
        <w:t xml:space="preserve"> </w:t>
      </w:r>
      <w:r w:rsidR="005911AE">
        <w:rPr>
          <w:rFonts w:ascii="Arial" w:eastAsia="Arial" w:hAnsi="Arial" w:cs="Arial"/>
          <w:color w:val="444444"/>
          <w:sz w:val="24"/>
        </w:rPr>
        <w:t>for full PERA implementation.</w:t>
      </w:r>
    </w:p>
    <w:p w:rsidR="00913C73" w:rsidRDefault="00913C73">
      <w:pPr>
        <w:spacing w:after="0" w:line="240" w:lineRule="auto"/>
        <w:rPr>
          <w:rFonts w:ascii="Arial" w:eastAsia="Arial" w:hAnsi="Arial" w:cs="Arial"/>
          <w:b/>
          <w:color w:val="444444"/>
          <w:sz w:val="24"/>
        </w:rPr>
      </w:pPr>
    </w:p>
    <w:p w:rsidR="000B67BF" w:rsidRPr="002458A4" w:rsidRDefault="0084437C">
      <w:pPr>
        <w:spacing w:after="0" w:line="240" w:lineRule="auto"/>
      </w:pPr>
      <w:r>
        <w:rPr>
          <w:rFonts w:ascii="Arial" w:eastAsia="Arial" w:hAnsi="Arial" w:cs="Arial"/>
          <w:b/>
          <w:color w:val="444444"/>
          <w:sz w:val="24"/>
          <w:highlight w:val="white"/>
        </w:rPr>
        <w:t xml:space="preserve">Module 3:  </w:t>
      </w:r>
      <w:r w:rsidR="005911AE">
        <w:rPr>
          <w:rFonts w:ascii="Arial" w:eastAsia="Arial" w:hAnsi="Arial" w:cs="Arial"/>
          <w:b/>
          <w:color w:val="444444"/>
          <w:sz w:val="24"/>
          <w:highlight w:val="white"/>
        </w:rPr>
        <w:t xml:space="preserve">Student Learning Objectives:  </w:t>
      </w:r>
      <w:r w:rsidR="002A1140">
        <w:rPr>
          <w:rFonts w:ascii="Arial" w:eastAsia="Arial" w:hAnsi="Arial" w:cs="Arial"/>
          <w:color w:val="444444"/>
          <w:sz w:val="24"/>
        </w:rPr>
        <w:t>(H</w:t>
      </w:r>
      <w:r w:rsidR="002458A4">
        <w:rPr>
          <w:rFonts w:ascii="Arial" w:eastAsia="Arial" w:hAnsi="Arial" w:cs="Arial"/>
          <w:color w:val="444444"/>
          <w:sz w:val="24"/>
        </w:rPr>
        <w:t>alf day session)</w:t>
      </w:r>
    </w:p>
    <w:p w:rsidR="000B67BF" w:rsidRDefault="000B67BF">
      <w:pPr>
        <w:spacing w:after="0" w:line="240" w:lineRule="auto"/>
      </w:pPr>
    </w:p>
    <w:p w:rsidR="00763770" w:rsidRPr="00763770" w:rsidRDefault="00763770" w:rsidP="00896696">
      <w:pPr>
        <w:numPr>
          <w:ilvl w:val="0"/>
          <w:numId w:val="2"/>
        </w:numPr>
        <w:spacing w:after="0" w:line="240" w:lineRule="auto"/>
        <w:ind w:hanging="360"/>
        <w:contextualSpacing/>
      </w:pPr>
      <w:r w:rsidRPr="00A7552F">
        <w:rPr>
          <w:rFonts w:ascii="Arial" w:eastAsia="Arial" w:hAnsi="Arial" w:cs="Arial"/>
          <w:color w:val="auto"/>
          <w:sz w:val="24"/>
        </w:rPr>
        <w:t xml:space="preserve">Participants will demonstrate knowledge of the SLO process based on </w:t>
      </w:r>
      <w:r w:rsidR="005911AE" w:rsidRPr="00A7552F">
        <w:rPr>
          <w:rFonts w:ascii="Arial" w:eastAsia="Arial" w:hAnsi="Arial" w:cs="Arial"/>
          <w:color w:val="auto"/>
          <w:sz w:val="24"/>
        </w:rPr>
        <w:t xml:space="preserve">training materials developed by the Illinois State Board of Education Assessment Division. This collection includes resources </w:t>
      </w:r>
      <w:r w:rsidRPr="00A7552F">
        <w:rPr>
          <w:rFonts w:ascii="Arial" w:eastAsia="Arial" w:hAnsi="Arial" w:cs="Arial"/>
          <w:color w:val="auto"/>
          <w:sz w:val="24"/>
        </w:rPr>
        <w:t>supporting</w:t>
      </w:r>
      <w:r w:rsidR="005911AE" w:rsidRPr="00A7552F">
        <w:rPr>
          <w:rFonts w:ascii="Arial" w:eastAsia="Arial" w:hAnsi="Arial" w:cs="Arial"/>
          <w:color w:val="auto"/>
          <w:sz w:val="24"/>
        </w:rPr>
        <w:t xml:space="preserve"> </w:t>
      </w:r>
      <w:r w:rsidR="005911AE" w:rsidRPr="00763770">
        <w:rPr>
          <w:rFonts w:ascii="Arial" w:eastAsia="Arial" w:hAnsi="Arial" w:cs="Arial"/>
          <w:color w:val="444444"/>
          <w:sz w:val="24"/>
        </w:rPr>
        <w:t xml:space="preserve">the Student Learning Objective (SLO) process. </w:t>
      </w:r>
    </w:p>
    <w:p w:rsidR="00763770" w:rsidRPr="00763770" w:rsidRDefault="00763770" w:rsidP="00763770">
      <w:pPr>
        <w:spacing w:after="0" w:line="240" w:lineRule="auto"/>
        <w:ind w:left="720"/>
        <w:contextualSpacing/>
      </w:pPr>
    </w:p>
    <w:p w:rsidR="000B67BF" w:rsidRDefault="0084437C" w:rsidP="00763770">
      <w:pPr>
        <w:spacing w:after="0" w:line="240" w:lineRule="auto"/>
        <w:contextualSpacing/>
        <w:rPr>
          <w:rFonts w:ascii="Arial" w:eastAsia="Arial" w:hAnsi="Arial" w:cs="Arial"/>
          <w:sz w:val="24"/>
        </w:rPr>
      </w:pPr>
      <w:r>
        <w:rPr>
          <w:rFonts w:ascii="Arial" w:eastAsia="Arial" w:hAnsi="Arial" w:cs="Arial"/>
          <w:b/>
          <w:sz w:val="24"/>
        </w:rPr>
        <w:t xml:space="preserve">Module 4:  </w:t>
      </w:r>
      <w:r w:rsidR="005911AE">
        <w:rPr>
          <w:rFonts w:ascii="Arial" w:eastAsia="Arial" w:hAnsi="Arial" w:cs="Arial"/>
          <w:b/>
          <w:sz w:val="24"/>
        </w:rPr>
        <w:t>Measurement Models</w:t>
      </w:r>
      <w:r w:rsidR="005911AE">
        <w:rPr>
          <w:rFonts w:ascii="Arial" w:eastAsia="Arial" w:hAnsi="Arial" w:cs="Arial"/>
          <w:sz w:val="24"/>
        </w:rPr>
        <w:t xml:space="preserve">:  </w:t>
      </w:r>
      <w:r w:rsidR="002A1140">
        <w:rPr>
          <w:rFonts w:ascii="Arial" w:eastAsia="Arial" w:hAnsi="Arial" w:cs="Arial"/>
          <w:sz w:val="24"/>
        </w:rPr>
        <w:t>(H</w:t>
      </w:r>
      <w:r w:rsidR="002458A4">
        <w:rPr>
          <w:rFonts w:ascii="Arial" w:eastAsia="Arial" w:hAnsi="Arial" w:cs="Arial"/>
          <w:sz w:val="24"/>
        </w:rPr>
        <w:t>alf or full day session)</w:t>
      </w:r>
    </w:p>
    <w:p w:rsidR="00763770" w:rsidRDefault="00763770" w:rsidP="00763770">
      <w:pPr>
        <w:spacing w:after="0" w:line="240" w:lineRule="auto"/>
        <w:contextualSpacing/>
      </w:pPr>
    </w:p>
    <w:p w:rsidR="000B67BF" w:rsidRPr="00763770" w:rsidRDefault="00763770">
      <w:pPr>
        <w:numPr>
          <w:ilvl w:val="0"/>
          <w:numId w:val="1"/>
        </w:numPr>
        <w:spacing w:after="280" w:line="240" w:lineRule="auto"/>
        <w:ind w:hanging="360"/>
        <w:contextualSpacing/>
        <w:rPr>
          <w:b/>
          <w:color w:val="444444"/>
          <w:sz w:val="24"/>
        </w:rPr>
      </w:pPr>
      <w:r>
        <w:rPr>
          <w:rFonts w:ascii="Arial" w:eastAsia="Arial" w:hAnsi="Arial" w:cs="Arial"/>
          <w:sz w:val="24"/>
        </w:rPr>
        <w:t>P</w:t>
      </w:r>
      <w:r w:rsidR="005911AE">
        <w:rPr>
          <w:rFonts w:ascii="Arial" w:eastAsia="Arial" w:hAnsi="Arial" w:cs="Arial"/>
          <w:sz w:val="24"/>
        </w:rPr>
        <w:t>articipants will demonstrate knowledge of the measurement models (adaptive conditional status, gain based, and multi-variate) and supporting materials.</w:t>
      </w:r>
    </w:p>
    <w:p w:rsidR="00913C73" w:rsidRDefault="00913C73">
      <w:pPr>
        <w:spacing w:after="280" w:line="240" w:lineRule="auto"/>
        <w:rPr>
          <w:rFonts w:ascii="Arial" w:eastAsia="Arial" w:hAnsi="Arial" w:cs="Arial"/>
          <w:b/>
          <w:sz w:val="24"/>
        </w:rPr>
      </w:pPr>
    </w:p>
    <w:p w:rsidR="000B67BF" w:rsidRPr="002458A4" w:rsidRDefault="0084437C">
      <w:pPr>
        <w:spacing w:after="280" w:line="240" w:lineRule="auto"/>
        <w:rPr>
          <w:rFonts w:ascii="Arial" w:hAnsi="Arial" w:cs="Arial"/>
        </w:rPr>
      </w:pPr>
      <w:r>
        <w:rPr>
          <w:rFonts w:ascii="Arial" w:eastAsia="Arial" w:hAnsi="Arial" w:cs="Arial"/>
          <w:b/>
          <w:sz w:val="24"/>
        </w:rPr>
        <w:t xml:space="preserve">Module 5:  </w:t>
      </w:r>
      <w:r w:rsidR="005911AE">
        <w:rPr>
          <w:rFonts w:ascii="Arial" w:eastAsia="Arial" w:hAnsi="Arial" w:cs="Arial"/>
          <w:b/>
          <w:sz w:val="24"/>
        </w:rPr>
        <w:t>State Model:</w:t>
      </w:r>
      <w:r w:rsidR="005911AE">
        <w:rPr>
          <w:b/>
          <w:sz w:val="24"/>
        </w:rPr>
        <w:t xml:space="preserve"> </w:t>
      </w:r>
      <w:r w:rsidR="002A1140">
        <w:rPr>
          <w:rFonts w:ascii="Arial" w:hAnsi="Arial" w:cs="Arial"/>
          <w:sz w:val="24"/>
        </w:rPr>
        <w:t>(H</w:t>
      </w:r>
      <w:r w:rsidR="002458A4">
        <w:rPr>
          <w:rFonts w:ascii="Arial" w:hAnsi="Arial" w:cs="Arial"/>
          <w:sz w:val="24"/>
        </w:rPr>
        <w:t>alf day session)</w:t>
      </w:r>
    </w:p>
    <w:p w:rsidR="000B67BF" w:rsidRPr="00763770" w:rsidRDefault="005911AE">
      <w:pPr>
        <w:numPr>
          <w:ilvl w:val="0"/>
          <w:numId w:val="1"/>
        </w:numPr>
        <w:spacing w:after="280" w:line="240" w:lineRule="auto"/>
        <w:ind w:hanging="360"/>
        <w:contextualSpacing/>
        <w:rPr>
          <w:b/>
          <w:color w:val="444444"/>
          <w:sz w:val="24"/>
        </w:rPr>
      </w:pPr>
      <w:r>
        <w:rPr>
          <w:rFonts w:ascii="Arial" w:eastAsia="Arial" w:hAnsi="Arial" w:cs="Arial"/>
          <w:sz w:val="24"/>
        </w:rPr>
        <w:t>Participants will</w:t>
      </w:r>
      <w:r w:rsidR="009B3BEB">
        <w:rPr>
          <w:rFonts w:ascii="Arial" w:eastAsia="Arial" w:hAnsi="Arial" w:cs="Arial"/>
          <w:sz w:val="24"/>
        </w:rPr>
        <w:t xml:space="preserve"> </w:t>
      </w:r>
      <w:r>
        <w:rPr>
          <w:rFonts w:ascii="Arial" w:eastAsia="Arial" w:hAnsi="Arial" w:cs="Arial"/>
          <w:sz w:val="24"/>
        </w:rPr>
        <w:t>explain the difference betwe</w:t>
      </w:r>
      <w:r w:rsidR="00763770">
        <w:rPr>
          <w:rFonts w:ascii="Arial" w:eastAsia="Arial" w:hAnsi="Arial" w:cs="Arial"/>
          <w:sz w:val="24"/>
        </w:rPr>
        <w:t xml:space="preserve">en the State Model </w:t>
      </w:r>
      <w:r w:rsidR="00763770" w:rsidRPr="00A7552F">
        <w:rPr>
          <w:rFonts w:ascii="Arial" w:eastAsia="Arial" w:hAnsi="Arial" w:cs="Arial"/>
          <w:color w:val="auto"/>
          <w:sz w:val="24"/>
        </w:rPr>
        <w:t>and district-</w:t>
      </w:r>
      <w:r w:rsidR="009B3BEB">
        <w:rPr>
          <w:rFonts w:ascii="Arial" w:eastAsia="Arial" w:hAnsi="Arial" w:cs="Arial"/>
          <w:color w:val="auto"/>
          <w:sz w:val="24"/>
        </w:rPr>
        <w:t xml:space="preserve">created model, </w:t>
      </w:r>
      <w:r w:rsidRPr="00A7552F">
        <w:rPr>
          <w:rFonts w:ascii="Arial" w:eastAsia="Arial" w:hAnsi="Arial" w:cs="Arial"/>
          <w:color w:val="auto"/>
          <w:sz w:val="24"/>
        </w:rPr>
        <w:t>articulate the requirements of the State Model and when a district needs to utilize</w:t>
      </w:r>
      <w:r w:rsidRPr="00A7552F">
        <w:rPr>
          <w:rFonts w:ascii="Arial" w:eastAsia="Arial" w:hAnsi="Arial" w:cs="Arial"/>
          <w:b/>
          <w:color w:val="auto"/>
          <w:sz w:val="24"/>
        </w:rPr>
        <w:t xml:space="preserve"> </w:t>
      </w:r>
      <w:r w:rsidR="009B3BEB">
        <w:rPr>
          <w:rFonts w:ascii="Arial" w:eastAsia="Arial" w:hAnsi="Arial" w:cs="Arial"/>
          <w:color w:val="auto"/>
          <w:sz w:val="24"/>
        </w:rPr>
        <w:t>different components,</w:t>
      </w:r>
      <w:r w:rsidRPr="00A7552F">
        <w:rPr>
          <w:rFonts w:ascii="Arial" w:eastAsia="Arial" w:hAnsi="Arial" w:cs="Arial"/>
          <w:color w:val="auto"/>
          <w:sz w:val="24"/>
        </w:rPr>
        <w:t xml:space="preserve"> and determine which model is best for </w:t>
      </w:r>
      <w:r w:rsidR="00634882" w:rsidRPr="00A7552F">
        <w:rPr>
          <w:rFonts w:ascii="Arial" w:eastAsia="Arial" w:hAnsi="Arial" w:cs="Arial"/>
          <w:color w:val="auto"/>
          <w:sz w:val="24"/>
        </w:rPr>
        <w:t>a</w:t>
      </w:r>
      <w:r w:rsidRPr="00A7552F">
        <w:rPr>
          <w:rFonts w:ascii="Arial" w:eastAsia="Arial" w:hAnsi="Arial" w:cs="Arial"/>
          <w:color w:val="auto"/>
          <w:sz w:val="24"/>
        </w:rPr>
        <w:t xml:space="preserve"> district.</w:t>
      </w:r>
    </w:p>
    <w:p w:rsidR="00763770" w:rsidRDefault="00763770" w:rsidP="00763770">
      <w:pPr>
        <w:spacing w:after="280" w:line="240" w:lineRule="auto"/>
        <w:contextualSpacing/>
        <w:rPr>
          <w:b/>
          <w:color w:val="444444"/>
          <w:sz w:val="24"/>
        </w:rPr>
      </w:pPr>
    </w:p>
    <w:p w:rsidR="000B67BF" w:rsidRPr="002458A4" w:rsidRDefault="0084437C">
      <w:pPr>
        <w:spacing w:after="280" w:line="240" w:lineRule="auto"/>
      </w:pPr>
      <w:r>
        <w:rPr>
          <w:rFonts w:ascii="Arial" w:eastAsia="Arial" w:hAnsi="Arial" w:cs="Arial"/>
          <w:b/>
          <w:sz w:val="24"/>
        </w:rPr>
        <w:t xml:space="preserve">Module 6:  </w:t>
      </w:r>
      <w:r w:rsidR="005911AE">
        <w:rPr>
          <w:rFonts w:ascii="Arial" w:eastAsia="Arial" w:hAnsi="Arial" w:cs="Arial"/>
          <w:b/>
          <w:sz w:val="24"/>
        </w:rPr>
        <w:t>Summative Rating</w:t>
      </w:r>
      <w:r w:rsidR="005911AE">
        <w:rPr>
          <w:rFonts w:ascii="Arial" w:eastAsia="Arial" w:hAnsi="Arial" w:cs="Arial"/>
          <w:i/>
          <w:sz w:val="24"/>
        </w:rPr>
        <w:t>:</w:t>
      </w:r>
      <w:r w:rsidR="002A1140">
        <w:rPr>
          <w:rFonts w:ascii="Arial" w:eastAsia="Arial" w:hAnsi="Arial" w:cs="Arial"/>
          <w:sz w:val="24"/>
        </w:rPr>
        <w:t xml:space="preserve"> (H</w:t>
      </w:r>
      <w:r w:rsidR="002458A4">
        <w:rPr>
          <w:rFonts w:ascii="Arial" w:eastAsia="Arial" w:hAnsi="Arial" w:cs="Arial"/>
          <w:sz w:val="24"/>
        </w:rPr>
        <w:t>alf day session)</w:t>
      </w:r>
    </w:p>
    <w:p w:rsidR="000B67BF" w:rsidRDefault="005911AE">
      <w:pPr>
        <w:numPr>
          <w:ilvl w:val="0"/>
          <w:numId w:val="1"/>
        </w:numPr>
        <w:ind w:hanging="360"/>
        <w:contextualSpacing/>
        <w:rPr>
          <w:sz w:val="24"/>
        </w:rPr>
      </w:pPr>
      <w:bookmarkStart w:id="0" w:name="h.gjdgxs" w:colFirst="0" w:colLast="0"/>
      <w:bookmarkEnd w:id="0"/>
      <w:r>
        <w:rPr>
          <w:rFonts w:ascii="Arial" w:eastAsia="Arial" w:hAnsi="Arial" w:cs="Arial"/>
          <w:sz w:val="24"/>
        </w:rPr>
        <w:t>Participants will be explain how the performance evaluation rating i</w:t>
      </w:r>
      <w:r w:rsidR="00CF1FAD">
        <w:rPr>
          <w:rFonts w:ascii="Arial" w:eastAsia="Arial" w:hAnsi="Arial" w:cs="Arial"/>
          <w:sz w:val="24"/>
        </w:rPr>
        <w:t>s calculated in the State Model,</w:t>
      </w:r>
      <w:r>
        <w:rPr>
          <w:rFonts w:ascii="Arial" w:eastAsia="Arial" w:hAnsi="Arial" w:cs="Arial"/>
          <w:sz w:val="24"/>
        </w:rPr>
        <w:t xml:space="preserve"> use a matrix to </w:t>
      </w:r>
      <w:r w:rsidR="00CF1FAD">
        <w:rPr>
          <w:rFonts w:ascii="Arial" w:eastAsia="Arial" w:hAnsi="Arial" w:cs="Arial"/>
          <w:sz w:val="24"/>
        </w:rPr>
        <w:t>calculate sample ratings,</w:t>
      </w:r>
      <w:r>
        <w:rPr>
          <w:rFonts w:ascii="Arial" w:eastAsia="Arial" w:hAnsi="Arial" w:cs="Arial"/>
          <w:sz w:val="24"/>
        </w:rPr>
        <w:t xml:space="preserve"> and determine a summative rating us</w:t>
      </w:r>
      <w:r w:rsidR="00264FC1">
        <w:rPr>
          <w:rFonts w:ascii="Arial" w:eastAsia="Arial" w:hAnsi="Arial" w:cs="Arial"/>
          <w:sz w:val="24"/>
        </w:rPr>
        <w:t>ing weights that are not 50% gro</w:t>
      </w:r>
      <w:r>
        <w:rPr>
          <w:rFonts w:ascii="Arial" w:eastAsia="Arial" w:hAnsi="Arial" w:cs="Arial"/>
          <w:sz w:val="24"/>
        </w:rPr>
        <w:t>wth.</w:t>
      </w:r>
    </w:p>
    <w:p w:rsidR="000B67BF" w:rsidRDefault="000B67BF"/>
    <w:p w:rsidR="0057754B" w:rsidRDefault="00913C73" w:rsidP="0057754B">
      <w:pPr>
        <w:spacing w:line="240" w:lineRule="auto"/>
        <w:contextualSpacing/>
        <w:rPr>
          <w:rFonts w:ascii="Arial" w:hAnsi="Arial" w:cs="Arial"/>
          <w:b/>
          <w:sz w:val="24"/>
          <w:szCs w:val="24"/>
        </w:rPr>
      </w:pPr>
      <w:r w:rsidRPr="00913C73">
        <w:rPr>
          <w:rFonts w:ascii="Arial" w:hAnsi="Arial" w:cs="Arial"/>
          <w:b/>
          <w:sz w:val="24"/>
          <w:szCs w:val="24"/>
        </w:rPr>
        <w:t>Networking</w:t>
      </w:r>
      <w:r w:rsidR="003E4465">
        <w:rPr>
          <w:rFonts w:ascii="Arial" w:hAnsi="Arial" w:cs="Arial"/>
          <w:b/>
          <w:sz w:val="24"/>
          <w:szCs w:val="24"/>
        </w:rPr>
        <w:t xml:space="preserve"> for </w:t>
      </w:r>
      <w:r w:rsidR="00264FC1">
        <w:rPr>
          <w:rFonts w:ascii="Arial" w:hAnsi="Arial" w:cs="Arial"/>
          <w:b/>
          <w:sz w:val="24"/>
          <w:szCs w:val="24"/>
        </w:rPr>
        <w:t xml:space="preserve">Implementation in </w:t>
      </w:r>
      <w:r w:rsidR="003E4465">
        <w:rPr>
          <w:rFonts w:ascii="Arial" w:hAnsi="Arial" w:cs="Arial"/>
          <w:b/>
          <w:sz w:val="24"/>
          <w:szCs w:val="24"/>
        </w:rPr>
        <w:t>F</w:t>
      </w:r>
      <w:r w:rsidR="00264FC1">
        <w:rPr>
          <w:rFonts w:ascii="Arial" w:hAnsi="Arial" w:cs="Arial"/>
          <w:b/>
          <w:sz w:val="24"/>
          <w:szCs w:val="24"/>
        </w:rPr>
        <w:t xml:space="preserve">oundational </w:t>
      </w:r>
      <w:r w:rsidR="003E4465">
        <w:rPr>
          <w:rFonts w:ascii="Arial" w:hAnsi="Arial" w:cs="Arial"/>
          <w:b/>
          <w:sz w:val="24"/>
          <w:szCs w:val="24"/>
        </w:rPr>
        <w:t>S</w:t>
      </w:r>
      <w:r w:rsidR="00264FC1">
        <w:rPr>
          <w:rFonts w:ascii="Arial" w:hAnsi="Arial" w:cs="Arial"/>
          <w:b/>
          <w:sz w:val="24"/>
          <w:szCs w:val="24"/>
        </w:rPr>
        <w:t>ervices</w:t>
      </w:r>
      <w:r w:rsidR="003E4465">
        <w:rPr>
          <w:rFonts w:ascii="Arial" w:hAnsi="Arial" w:cs="Arial"/>
          <w:b/>
          <w:sz w:val="24"/>
          <w:szCs w:val="24"/>
        </w:rPr>
        <w:t xml:space="preserve"> Teacher Evaluation</w:t>
      </w:r>
      <w:r w:rsidRPr="00913C73">
        <w:rPr>
          <w:rFonts w:ascii="Arial" w:hAnsi="Arial" w:cs="Arial"/>
          <w:b/>
          <w:sz w:val="24"/>
          <w:szCs w:val="24"/>
        </w:rPr>
        <w:t>:</w:t>
      </w:r>
      <w:r w:rsidRPr="00913C73">
        <w:t xml:space="preserve"> </w:t>
      </w:r>
    </w:p>
    <w:p w:rsidR="00763770" w:rsidRDefault="00913C73" w:rsidP="0057754B">
      <w:pPr>
        <w:spacing w:line="240" w:lineRule="auto"/>
        <w:contextualSpacing/>
        <w:rPr>
          <w:rFonts w:ascii="Arial" w:hAnsi="Arial" w:cs="Arial"/>
          <w:sz w:val="24"/>
          <w:szCs w:val="24"/>
        </w:rPr>
      </w:pPr>
      <w:r w:rsidRPr="0057754B">
        <w:rPr>
          <w:rFonts w:ascii="Arial" w:hAnsi="Arial" w:cs="Arial"/>
          <w:sz w:val="24"/>
          <w:szCs w:val="24"/>
        </w:rPr>
        <w:t xml:space="preserve">Participants will engage in discussion around shared experiences and expertise related to implementation of Teacher Evaluation. </w:t>
      </w:r>
      <w:r w:rsidR="009B3BEB">
        <w:rPr>
          <w:rFonts w:ascii="Arial" w:eastAsia="Arial" w:hAnsi="Arial" w:cs="Arial"/>
          <w:color w:val="444444"/>
          <w:sz w:val="24"/>
          <w:highlight w:val="white"/>
        </w:rPr>
        <w:t xml:space="preserve">Each gathering </w:t>
      </w:r>
      <w:r w:rsidR="009B3BEB">
        <w:rPr>
          <w:rFonts w:ascii="Arial" w:eastAsia="Arial" w:hAnsi="Arial" w:cs="Arial"/>
          <w:color w:val="444444"/>
          <w:sz w:val="24"/>
        </w:rPr>
        <w:t>is initiated for a deeper look into a topic included in the currently approved materials.</w:t>
      </w:r>
      <w:bookmarkStart w:id="1" w:name="_GoBack"/>
      <w:bookmarkEnd w:id="1"/>
    </w:p>
    <w:p w:rsidR="0057754B" w:rsidRPr="0057754B" w:rsidRDefault="0057754B" w:rsidP="0057754B">
      <w:pPr>
        <w:spacing w:line="240" w:lineRule="auto"/>
        <w:contextualSpacing/>
        <w:rPr>
          <w:rFonts w:ascii="Arial" w:hAnsi="Arial" w:cs="Arial"/>
          <w:b/>
          <w:sz w:val="24"/>
          <w:szCs w:val="24"/>
        </w:rPr>
      </w:pPr>
    </w:p>
    <w:p w:rsidR="000B67BF" w:rsidRDefault="005911AE">
      <w:pPr>
        <w:jc w:val="center"/>
      </w:pPr>
      <w:r>
        <w:rPr>
          <w:rFonts w:ascii="Century Gothic" w:eastAsia="Century Gothic" w:hAnsi="Century Gothic" w:cs="Century Gothic"/>
          <w:b/>
          <w:sz w:val="40"/>
        </w:rPr>
        <w:t>Top 5 Reasons Districts Should Participate in</w:t>
      </w:r>
    </w:p>
    <w:p w:rsidR="000B67BF" w:rsidRDefault="005911AE">
      <w:pPr>
        <w:jc w:val="center"/>
      </w:pPr>
      <w:r>
        <w:rPr>
          <w:rFonts w:ascii="Century Gothic" w:eastAsia="Century Gothic" w:hAnsi="Century Gothic" w:cs="Century Gothic"/>
          <w:b/>
          <w:sz w:val="40"/>
        </w:rPr>
        <w:t>Foundational Services Teacher Evaluation Training</w:t>
      </w:r>
    </w:p>
    <w:p w:rsidR="000B67BF" w:rsidRPr="00CF1FAD" w:rsidRDefault="00CF1FAD" w:rsidP="00CF1FAD">
      <w:pPr>
        <w:spacing w:line="240" w:lineRule="auto"/>
        <w:ind w:left="360"/>
        <w:rPr>
          <w:rFonts w:ascii="Century Gothic" w:hAnsi="Century Gothic"/>
        </w:rPr>
      </w:pPr>
      <w:r>
        <w:rPr>
          <w:rFonts w:ascii="Century Gothic" w:eastAsia="Century Gothic" w:hAnsi="Century Gothic" w:cs="Century Gothic"/>
          <w:sz w:val="32"/>
        </w:rPr>
        <w:t xml:space="preserve">5.  </w:t>
      </w:r>
      <w:r w:rsidR="005911AE" w:rsidRPr="00CF1FAD">
        <w:rPr>
          <w:rFonts w:ascii="Century Gothic" w:eastAsia="Century Gothic" w:hAnsi="Century Gothic" w:cs="Century Gothic"/>
          <w:sz w:val="32"/>
        </w:rPr>
        <w:t>The training in Teacher Evaluation, when attended in the sequence provided,</w:t>
      </w:r>
      <w:r w:rsidR="005911AE" w:rsidRPr="00CF1FAD">
        <w:rPr>
          <w:rFonts w:ascii="Century Gothic" w:eastAsia="Century Gothic" w:hAnsi="Century Gothic" w:cs="Century Gothic"/>
          <w:sz w:val="32"/>
          <w:highlight w:val="white"/>
        </w:rPr>
        <w:t xml:space="preserve"> provides participants with a framework for complying with PERA.</w:t>
      </w:r>
    </w:p>
    <w:p w:rsidR="000B67BF" w:rsidRDefault="000B67BF" w:rsidP="00CF1FAD">
      <w:pPr>
        <w:spacing w:line="240" w:lineRule="auto"/>
        <w:contextualSpacing/>
        <w:rPr>
          <w:rFonts w:ascii="Century Gothic" w:hAnsi="Century Gothic"/>
        </w:rPr>
      </w:pPr>
    </w:p>
    <w:p w:rsidR="00CF1FAD" w:rsidRDefault="00CF1FAD" w:rsidP="00CF1FAD">
      <w:pPr>
        <w:spacing w:line="240" w:lineRule="auto"/>
        <w:contextualSpacing/>
        <w:rPr>
          <w:rFonts w:ascii="Century Gothic" w:hAnsi="Century Gothic"/>
        </w:rPr>
      </w:pPr>
    </w:p>
    <w:p w:rsidR="00CF1FAD" w:rsidRPr="00CF1FAD" w:rsidRDefault="00CF1FAD" w:rsidP="00CF1FAD">
      <w:pPr>
        <w:spacing w:line="240" w:lineRule="auto"/>
        <w:contextualSpacing/>
        <w:rPr>
          <w:rFonts w:ascii="Century Gothic" w:hAnsi="Century Gothic"/>
        </w:rPr>
      </w:pPr>
    </w:p>
    <w:p w:rsidR="000B67BF" w:rsidRPr="00CF1FAD" w:rsidRDefault="000B67BF" w:rsidP="00CF1FAD">
      <w:pPr>
        <w:spacing w:line="240" w:lineRule="auto"/>
        <w:contextualSpacing/>
        <w:rPr>
          <w:rFonts w:ascii="Century Gothic" w:hAnsi="Century Gothic"/>
        </w:rPr>
      </w:pPr>
    </w:p>
    <w:p w:rsidR="000B67BF" w:rsidRPr="00CF1FAD" w:rsidRDefault="00CF1FAD" w:rsidP="00CF1FAD">
      <w:pPr>
        <w:spacing w:line="240" w:lineRule="auto"/>
        <w:ind w:left="360"/>
        <w:rPr>
          <w:rFonts w:ascii="Century Gothic" w:hAnsi="Century Gothic"/>
        </w:rPr>
      </w:pPr>
      <w:r>
        <w:rPr>
          <w:rFonts w:ascii="Century Gothic" w:eastAsia="Century Gothic" w:hAnsi="Century Gothic" w:cs="Century Gothic"/>
          <w:sz w:val="32"/>
          <w:highlight w:val="white"/>
        </w:rPr>
        <w:t xml:space="preserve">4.  </w:t>
      </w:r>
      <w:r w:rsidR="005911AE" w:rsidRPr="00CF1FAD">
        <w:rPr>
          <w:rFonts w:ascii="Century Gothic" w:eastAsia="Century Gothic" w:hAnsi="Century Gothic" w:cs="Century Gothic"/>
          <w:sz w:val="32"/>
          <w:highlight w:val="white"/>
        </w:rPr>
        <w:t xml:space="preserve">The training in Teacher Evaluation provides participants with a network of </w:t>
      </w:r>
      <w:r w:rsidR="005911AE" w:rsidRPr="00CF1FAD">
        <w:rPr>
          <w:rFonts w:ascii="Century Gothic" w:eastAsia="Century Gothic" w:hAnsi="Century Gothic" w:cs="Century Gothic"/>
          <w:color w:val="auto"/>
          <w:sz w:val="32"/>
          <w:highlight w:val="white"/>
        </w:rPr>
        <w:t>other districts</w:t>
      </w:r>
      <w:r w:rsidR="00A828FB" w:rsidRPr="00CF1FAD">
        <w:rPr>
          <w:rFonts w:ascii="Century Gothic" w:eastAsia="Century Gothic" w:hAnsi="Century Gothic" w:cs="Century Gothic"/>
          <w:color w:val="auto"/>
          <w:sz w:val="32"/>
          <w:highlight w:val="white"/>
        </w:rPr>
        <w:t xml:space="preserve">’ </w:t>
      </w:r>
      <w:r w:rsidR="005911AE" w:rsidRPr="00CF1FAD">
        <w:rPr>
          <w:rFonts w:ascii="Century Gothic" w:eastAsia="Century Gothic" w:hAnsi="Century Gothic" w:cs="Century Gothic"/>
          <w:color w:val="auto"/>
          <w:sz w:val="32"/>
          <w:highlight w:val="white"/>
        </w:rPr>
        <w:t xml:space="preserve">joint committees </w:t>
      </w:r>
      <w:r w:rsidR="005911AE" w:rsidRPr="00CF1FAD">
        <w:rPr>
          <w:rFonts w:ascii="Century Gothic" w:eastAsia="Century Gothic" w:hAnsi="Century Gothic" w:cs="Century Gothic"/>
          <w:sz w:val="32"/>
          <w:highlight w:val="white"/>
        </w:rPr>
        <w:t>as a resource when working with PERA.</w:t>
      </w:r>
    </w:p>
    <w:p w:rsidR="000B67BF" w:rsidRDefault="000B67BF" w:rsidP="00CF1FAD">
      <w:pPr>
        <w:spacing w:line="240" w:lineRule="auto"/>
        <w:contextualSpacing/>
      </w:pPr>
    </w:p>
    <w:p w:rsidR="00CF1FAD" w:rsidRDefault="00CF1FAD" w:rsidP="00CF1FAD">
      <w:pPr>
        <w:spacing w:line="240" w:lineRule="auto"/>
        <w:contextualSpacing/>
      </w:pPr>
    </w:p>
    <w:p w:rsidR="00CF1FAD" w:rsidRDefault="00CF1FAD" w:rsidP="00CF1FAD">
      <w:pPr>
        <w:spacing w:line="240" w:lineRule="auto"/>
        <w:contextualSpacing/>
      </w:pPr>
    </w:p>
    <w:p w:rsidR="000B67BF" w:rsidRDefault="000B67BF" w:rsidP="00CF1FAD">
      <w:pPr>
        <w:spacing w:line="240" w:lineRule="auto"/>
        <w:contextualSpacing/>
      </w:pPr>
    </w:p>
    <w:p w:rsidR="000B67BF" w:rsidRPr="00CF1FAD" w:rsidRDefault="00CF1FAD" w:rsidP="00CF1FAD">
      <w:pPr>
        <w:spacing w:line="240" w:lineRule="auto"/>
        <w:ind w:left="360"/>
        <w:rPr>
          <w:rFonts w:ascii="Century Gothic" w:eastAsia="Century Gothic" w:hAnsi="Century Gothic" w:cs="Century Gothic"/>
          <w:color w:val="auto"/>
          <w:sz w:val="32"/>
          <w:highlight w:val="white"/>
        </w:rPr>
      </w:pPr>
      <w:r>
        <w:rPr>
          <w:rFonts w:ascii="Century Gothic" w:eastAsia="Century Gothic" w:hAnsi="Century Gothic" w:cs="Century Gothic"/>
          <w:sz w:val="32"/>
          <w:highlight w:val="white"/>
        </w:rPr>
        <w:t xml:space="preserve">3.  </w:t>
      </w:r>
      <w:r w:rsidR="005911AE" w:rsidRPr="00CF1FAD">
        <w:rPr>
          <w:rFonts w:ascii="Century Gothic" w:eastAsia="Century Gothic" w:hAnsi="Century Gothic" w:cs="Century Gothic"/>
          <w:sz w:val="32"/>
          <w:highlight w:val="white"/>
        </w:rPr>
        <w:t xml:space="preserve">The training in Teacher Evaluation provides </w:t>
      </w:r>
      <w:r w:rsidR="00A828FB" w:rsidRPr="00CF1FAD">
        <w:rPr>
          <w:rFonts w:ascii="Century Gothic" w:eastAsia="Century Gothic" w:hAnsi="Century Gothic" w:cs="Century Gothic"/>
          <w:color w:val="auto"/>
          <w:sz w:val="32"/>
          <w:highlight w:val="white"/>
        </w:rPr>
        <w:t>Joint Committees</w:t>
      </w:r>
      <w:r w:rsidR="005911AE" w:rsidRPr="00CF1FAD">
        <w:rPr>
          <w:rFonts w:ascii="Century Gothic" w:eastAsia="Century Gothic" w:hAnsi="Century Gothic" w:cs="Century Gothic"/>
          <w:color w:val="auto"/>
          <w:sz w:val="32"/>
          <w:highlight w:val="white"/>
        </w:rPr>
        <w:t xml:space="preserve"> </w:t>
      </w:r>
      <w:r w:rsidRPr="00CF1FAD">
        <w:rPr>
          <w:rFonts w:ascii="Century Gothic" w:eastAsia="Century Gothic" w:hAnsi="Century Gothic" w:cs="Century Gothic"/>
          <w:color w:val="auto"/>
          <w:sz w:val="32"/>
          <w:highlight w:val="white"/>
        </w:rPr>
        <w:t xml:space="preserve">with </w:t>
      </w:r>
      <w:r w:rsidR="005911AE" w:rsidRPr="00CF1FAD">
        <w:rPr>
          <w:rFonts w:ascii="Century Gothic" w:eastAsia="Century Gothic" w:hAnsi="Century Gothic" w:cs="Century Gothic"/>
          <w:color w:val="auto"/>
          <w:sz w:val="32"/>
          <w:highlight w:val="white"/>
        </w:rPr>
        <w:t>a common understa</w:t>
      </w:r>
      <w:r w:rsidR="00A828FB" w:rsidRPr="00CF1FAD">
        <w:rPr>
          <w:rFonts w:ascii="Century Gothic" w:eastAsia="Century Gothic" w:hAnsi="Century Gothic" w:cs="Century Gothic"/>
          <w:color w:val="auto"/>
          <w:sz w:val="32"/>
          <w:highlight w:val="white"/>
        </w:rPr>
        <w:t>nding of the components of PERA.</w:t>
      </w:r>
    </w:p>
    <w:p w:rsidR="000B67BF" w:rsidRDefault="000B67BF" w:rsidP="00CF1FAD">
      <w:pPr>
        <w:spacing w:line="240" w:lineRule="auto"/>
        <w:contextualSpacing/>
      </w:pPr>
    </w:p>
    <w:p w:rsidR="00A7552F" w:rsidRDefault="00A7552F" w:rsidP="00CF1FAD">
      <w:pPr>
        <w:spacing w:line="240" w:lineRule="auto"/>
        <w:contextualSpacing/>
      </w:pPr>
    </w:p>
    <w:p w:rsidR="00CF1FAD" w:rsidRDefault="00CF1FAD" w:rsidP="00CF1FAD">
      <w:pPr>
        <w:spacing w:line="240" w:lineRule="auto"/>
        <w:contextualSpacing/>
      </w:pPr>
    </w:p>
    <w:p w:rsidR="00CF1FAD" w:rsidRDefault="00CF1FAD" w:rsidP="00CF1FAD">
      <w:pPr>
        <w:spacing w:line="240" w:lineRule="auto"/>
        <w:contextualSpacing/>
      </w:pPr>
    </w:p>
    <w:p w:rsidR="000B67BF" w:rsidRPr="00CF1FAD" w:rsidRDefault="00CF1FAD" w:rsidP="00CF1FAD">
      <w:pPr>
        <w:spacing w:line="240" w:lineRule="auto"/>
        <w:ind w:left="360"/>
        <w:rPr>
          <w:rFonts w:ascii="Century Gothic" w:eastAsia="Century Gothic" w:hAnsi="Century Gothic" w:cs="Century Gothic"/>
          <w:sz w:val="32"/>
          <w:highlight w:val="white"/>
        </w:rPr>
      </w:pPr>
      <w:r>
        <w:rPr>
          <w:rFonts w:ascii="Century Gothic" w:eastAsia="Century Gothic" w:hAnsi="Century Gothic" w:cs="Century Gothic"/>
          <w:sz w:val="32"/>
          <w:highlight w:val="white"/>
        </w:rPr>
        <w:t xml:space="preserve">2.  </w:t>
      </w:r>
      <w:r w:rsidR="005911AE" w:rsidRPr="00CF1FAD">
        <w:rPr>
          <w:rFonts w:ascii="Century Gothic" w:eastAsia="Century Gothic" w:hAnsi="Century Gothic" w:cs="Century Gothic"/>
          <w:sz w:val="32"/>
          <w:highlight w:val="white"/>
        </w:rPr>
        <w:t>The training in Teacher Evaluation</w:t>
      </w:r>
      <w:r w:rsidRPr="00CF1FAD">
        <w:rPr>
          <w:rFonts w:ascii="Century Gothic" w:eastAsia="Century Gothic" w:hAnsi="Century Gothic" w:cs="Century Gothic"/>
          <w:sz w:val="32"/>
          <w:highlight w:val="white"/>
        </w:rPr>
        <w:t xml:space="preserve"> provides participants with the resources to build capacity of the joint committee to go back into their districts and make the decisions related to PERA.</w:t>
      </w:r>
    </w:p>
    <w:p w:rsidR="00CF1FAD" w:rsidRDefault="00CF1FAD" w:rsidP="00CF1FAD">
      <w:pPr>
        <w:pStyle w:val="ListParagraph"/>
        <w:spacing w:line="240" w:lineRule="auto"/>
        <w:rPr>
          <w:rFonts w:ascii="Century Gothic" w:eastAsia="Century Gothic" w:hAnsi="Century Gothic" w:cs="Century Gothic"/>
          <w:sz w:val="32"/>
          <w:highlight w:val="white"/>
        </w:rPr>
      </w:pPr>
    </w:p>
    <w:p w:rsidR="00CF1FAD" w:rsidRDefault="00CF1FAD" w:rsidP="00CF1FAD">
      <w:pPr>
        <w:pStyle w:val="ListParagraph"/>
        <w:spacing w:line="240" w:lineRule="auto"/>
        <w:rPr>
          <w:rFonts w:ascii="Century Gothic" w:eastAsia="Century Gothic" w:hAnsi="Century Gothic" w:cs="Century Gothic"/>
          <w:sz w:val="32"/>
          <w:highlight w:val="white"/>
        </w:rPr>
      </w:pPr>
    </w:p>
    <w:p w:rsidR="00CF1FAD" w:rsidRPr="00CF1FAD" w:rsidRDefault="00CF1FAD" w:rsidP="00CF1FAD">
      <w:pPr>
        <w:pStyle w:val="ListParagraph"/>
        <w:spacing w:line="240" w:lineRule="auto"/>
        <w:rPr>
          <w:rFonts w:ascii="Century Gothic" w:eastAsia="Century Gothic" w:hAnsi="Century Gothic" w:cs="Century Gothic"/>
          <w:sz w:val="32"/>
          <w:highlight w:val="white"/>
        </w:rPr>
      </w:pPr>
    </w:p>
    <w:p w:rsidR="000B67BF" w:rsidRDefault="000B67BF" w:rsidP="00CF1FAD">
      <w:pPr>
        <w:spacing w:line="240" w:lineRule="auto"/>
        <w:ind w:left="450" w:hanging="540"/>
        <w:contextualSpacing/>
      </w:pPr>
    </w:p>
    <w:p w:rsidR="00CF1FAD" w:rsidRPr="00CF1FAD" w:rsidRDefault="00CF1FAD" w:rsidP="00CF1FAD">
      <w:pPr>
        <w:spacing w:line="240" w:lineRule="auto"/>
        <w:ind w:left="360"/>
        <w:rPr>
          <w:rFonts w:ascii="Century Gothic" w:eastAsia="Century Gothic" w:hAnsi="Century Gothic" w:cs="Century Gothic"/>
          <w:sz w:val="32"/>
          <w:highlight w:val="white"/>
        </w:rPr>
      </w:pPr>
      <w:r>
        <w:rPr>
          <w:rFonts w:ascii="Century Gothic" w:eastAsia="Century Gothic" w:hAnsi="Century Gothic" w:cs="Century Gothic"/>
          <w:sz w:val="32"/>
          <w:highlight w:val="white"/>
        </w:rPr>
        <w:t xml:space="preserve">1.  </w:t>
      </w:r>
      <w:r w:rsidR="005911AE" w:rsidRPr="00CF1FAD">
        <w:rPr>
          <w:rFonts w:ascii="Century Gothic" w:eastAsia="Century Gothic" w:hAnsi="Century Gothic" w:cs="Century Gothic"/>
          <w:sz w:val="32"/>
          <w:highlight w:val="white"/>
        </w:rPr>
        <w:t>The training in Teacher Evaluation wil</w:t>
      </w:r>
      <w:r w:rsidRPr="00CF1FAD">
        <w:rPr>
          <w:rFonts w:ascii="Century Gothic" w:eastAsia="Century Gothic" w:hAnsi="Century Gothic" w:cs="Century Gothic"/>
          <w:sz w:val="32"/>
          <w:highlight w:val="white"/>
        </w:rPr>
        <w:t>l provide participants with the necessary information to assist with adherence to the legal guidelines/timelines contained in PERA.</w:t>
      </w:r>
    </w:p>
    <w:p w:rsidR="000B67BF" w:rsidRDefault="000B67BF" w:rsidP="00CF1FAD">
      <w:pPr>
        <w:pStyle w:val="ListParagraph"/>
        <w:spacing w:line="240" w:lineRule="auto"/>
      </w:pPr>
    </w:p>
    <w:sectPr w:rsidR="000B67BF" w:rsidSect="00454A0F">
      <w:footerReference w:type="default" r:id="rId10"/>
      <w:pgSz w:w="12240" w:h="15840"/>
      <w:pgMar w:top="720" w:right="720" w:bottom="720" w:left="720" w:header="720" w:footer="720" w:gutter="0"/>
      <w:pgBorders w:offsetFrom="page">
        <w:top w:val="single" w:sz="48" w:space="24" w:color="00B050"/>
        <w:left w:val="single" w:sz="48" w:space="24" w:color="00B050"/>
        <w:bottom w:val="single" w:sz="48" w:space="24" w:color="00B050"/>
        <w:right w:val="single" w:sz="48" w:space="24" w:color="00B050"/>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E53" w:rsidRDefault="00BC1E53" w:rsidP="00913C73">
      <w:pPr>
        <w:spacing w:after="0" w:line="240" w:lineRule="auto"/>
      </w:pPr>
      <w:r>
        <w:separator/>
      </w:r>
    </w:p>
  </w:endnote>
  <w:endnote w:type="continuationSeparator" w:id="0">
    <w:p w:rsidR="00BC1E53" w:rsidRDefault="00BC1E53" w:rsidP="0091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C73" w:rsidRPr="00913C73" w:rsidRDefault="00913C73" w:rsidP="00913C73">
    <w:pPr>
      <w:tabs>
        <w:tab w:val="center" w:pos="4680"/>
        <w:tab w:val="right" w:pos="9360"/>
      </w:tabs>
      <w:spacing w:after="0" w:line="240" w:lineRule="auto"/>
      <w:rPr>
        <w:rFonts w:asciiTheme="minorHAnsi" w:eastAsiaTheme="minorHAnsi" w:hAnsiTheme="minorHAnsi" w:cstheme="minorBidi"/>
        <w:color w:val="auto"/>
        <w:sz w:val="16"/>
        <w:szCs w:val="16"/>
      </w:rPr>
    </w:pPr>
    <w:r w:rsidRPr="00913C73">
      <w:rPr>
        <w:rFonts w:ascii="Arial" w:eastAsiaTheme="minorHAnsi" w:hAnsi="Arial" w:cs="Arial"/>
        <w:i/>
        <w:iCs/>
        <w:color w:val="444444"/>
        <w:sz w:val="16"/>
        <w:szCs w:val="16"/>
        <w:shd w:val="clear" w:color="auto" w:fill="FFFFFF"/>
      </w:rPr>
      <w:t>This program is fully (100%) funded by the United States Department of Education using No Child Left Behind, Title I Part A Funds through a grant from the Illinois State Board of Education, Statewide System of Support funds</w:t>
    </w:r>
    <w:r w:rsidRPr="00913C73">
      <w:rPr>
        <w:rFonts w:ascii="Arial" w:eastAsiaTheme="minorHAnsi" w:hAnsi="Arial" w:cs="Arial"/>
        <w:b/>
        <w:bCs/>
        <w:color w:val="444444"/>
        <w:sz w:val="16"/>
        <w:szCs w:val="16"/>
        <w:shd w:val="clear" w:color="auto" w:fill="FFFFFF"/>
      </w:rPr>
      <w:t>.</w:t>
    </w:r>
    <w:r w:rsidR="009B3BEB">
      <w:rPr>
        <w:rFonts w:ascii="Arial" w:eastAsiaTheme="minorHAnsi" w:hAnsi="Arial" w:cs="Arial"/>
        <w:b/>
        <w:bCs/>
        <w:color w:val="444444"/>
        <w:sz w:val="16"/>
        <w:szCs w:val="16"/>
        <w:shd w:val="clear" w:color="auto" w:fill="FFFFFF"/>
      </w:rPr>
      <w:t xml:space="preserve">                                                                                                           </w:t>
    </w:r>
    <w:r w:rsidR="00264FC1">
      <w:rPr>
        <w:rFonts w:ascii="Arial" w:eastAsiaTheme="minorHAnsi" w:hAnsi="Arial" w:cs="Arial"/>
        <w:bCs/>
        <w:color w:val="444444"/>
        <w:sz w:val="16"/>
        <w:szCs w:val="16"/>
        <w:shd w:val="clear" w:color="auto" w:fill="FFFFFF"/>
      </w:rPr>
      <w:t>9-19-16</w:t>
    </w:r>
  </w:p>
  <w:p w:rsidR="00913C73" w:rsidRDefault="00913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E53" w:rsidRDefault="00BC1E53" w:rsidP="00913C73">
      <w:pPr>
        <w:spacing w:after="0" w:line="240" w:lineRule="auto"/>
      </w:pPr>
      <w:r>
        <w:separator/>
      </w:r>
    </w:p>
  </w:footnote>
  <w:footnote w:type="continuationSeparator" w:id="0">
    <w:p w:rsidR="00BC1E53" w:rsidRDefault="00BC1E53" w:rsidP="00913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8FC"/>
    <w:multiLevelType w:val="hybridMultilevel"/>
    <w:tmpl w:val="C08C72B0"/>
    <w:lvl w:ilvl="0" w:tplc="2E2254E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A5F79"/>
    <w:multiLevelType w:val="hybridMultilevel"/>
    <w:tmpl w:val="E6A4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B0674"/>
    <w:multiLevelType w:val="hybridMultilevel"/>
    <w:tmpl w:val="923A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6256C"/>
    <w:multiLevelType w:val="multilevel"/>
    <w:tmpl w:val="9D4CF3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7AF43301"/>
    <w:multiLevelType w:val="multilevel"/>
    <w:tmpl w:val="BBEAA9E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BF"/>
    <w:rsid w:val="000B67BF"/>
    <w:rsid w:val="00242A1F"/>
    <w:rsid w:val="002458A4"/>
    <w:rsid w:val="00264FC1"/>
    <w:rsid w:val="002A1140"/>
    <w:rsid w:val="00345BDA"/>
    <w:rsid w:val="003E4465"/>
    <w:rsid w:val="00426EE3"/>
    <w:rsid w:val="00454A0F"/>
    <w:rsid w:val="004E44F7"/>
    <w:rsid w:val="004F175E"/>
    <w:rsid w:val="0057754B"/>
    <w:rsid w:val="005911AE"/>
    <w:rsid w:val="00634882"/>
    <w:rsid w:val="006A6494"/>
    <w:rsid w:val="00763770"/>
    <w:rsid w:val="0084437C"/>
    <w:rsid w:val="008A4963"/>
    <w:rsid w:val="00913C73"/>
    <w:rsid w:val="009B3BEB"/>
    <w:rsid w:val="00A67112"/>
    <w:rsid w:val="00A7552F"/>
    <w:rsid w:val="00A828FB"/>
    <w:rsid w:val="00AE7D23"/>
    <w:rsid w:val="00AF7EF6"/>
    <w:rsid w:val="00B64582"/>
    <w:rsid w:val="00BC1E53"/>
    <w:rsid w:val="00CF1FAD"/>
    <w:rsid w:val="00D41A48"/>
    <w:rsid w:val="00EF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7DC8C-FB5F-4607-839D-350AD314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CF1FAD"/>
    <w:pPr>
      <w:ind w:left="720"/>
      <w:contextualSpacing/>
    </w:pPr>
  </w:style>
  <w:style w:type="paragraph" w:styleId="Header">
    <w:name w:val="header"/>
    <w:basedOn w:val="Normal"/>
    <w:link w:val="HeaderChar"/>
    <w:uiPriority w:val="99"/>
    <w:unhideWhenUsed/>
    <w:rsid w:val="0091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C73"/>
  </w:style>
  <w:style w:type="paragraph" w:styleId="Footer">
    <w:name w:val="footer"/>
    <w:basedOn w:val="Normal"/>
    <w:link w:val="FooterChar"/>
    <w:uiPriority w:val="99"/>
    <w:unhideWhenUsed/>
    <w:rsid w:val="0091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C73"/>
  </w:style>
  <w:style w:type="paragraph" w:styleId="BalloonText">
    <w:name w:val="Balloon Text"/>
    <w:basedOn w:val="Normal"/>
    <w:link w:val="BalloonTextChar"/>
    <w:uiPriority w:val="99"/>
    <w:semiHidden/>
    <w:unhideWhenUsed/>
    <w:rsid w:val="00577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iars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Dees</dc:creator>
  <cp:lastModifiedBy>Suzy Dees</cp:lastModifiedBy>
  <cp:revision>2</cp:revision>
  <cp:lastPrinted>2015-06-08T20:34:00Z</cp:lastPrinted>
  <dcterms:created xsi:type="dcterms:W3CDTF">2016-09-19T16:43:00Z</dcterms:created>
  <dcterms:modified xsi:type="dcterms:W3CDTF">2016-09-19T16:43:00Z</dcterms:modified>
</cp:coreProperties>
</file>